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CF" w:rsidRPr="00211D01" w:rsidRDefault="00830F71" w:rsidP="00830F71">
      <w:pPr>
        <w:spacing w:after="0"/>
        <w:jc w:val="center"/>
        <w:rPr>
          <w:b/>
          <w:sz w:val="28"/>
          <w:u w:val="single"/>
        </w:rPr>
      </w:pPr>
      <w:bookmarkStart w:id="0" w:name="_GoBack"/>
      <w:bookmarkEnd w:id="0"/>
      <w:r w:rsidRPr="00211D01">
        <w:rPr>
          <w:b/>
          <w:sz w:val="28"/>
          <w:u w:val="single"/>
        </w:rPr>
        <w:t>Quarterly Project Progress Review Report</w:t>
      </w:r>
    </w:p>
    <w:p w:rsidR="00830F71" w:rsidRPr="00211D01" w:rsidRDefault="00830F71" w:rsidP="00830F71">
      <w:pPr>
        <w:spacing w:after="0"/>
        <w:jc w:val="both"/>
        <w:rPr>
          <w:sz w:val="24"/>
        </w:rPr>
      </w:pPr>
    </w:p>
    <w:p w:rsidR="00830F71" w:rsidRPr="00211D01" w:rsidRDefault="00830F71" w:rsidP="00830F7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4"/>
          <w:szCs w:val="22"/>
        </w:rPr>
      </w:pPr>
      <w:r w:rsidRPr="00211D01">
        <w:rPr>
          <w:rFonts w:asciiTheme="minorHAnsi" w:hAnsiTheme="minorHAnsi" w:cstheme="minorHAnsi"/>
          <w:b/>
          <w:sz w:val="24"/>
          <w:szCs w:val="22"/>
        </w:rPr>
        <w:t>DATE:</w:t>
      </w:r>
      <w:r w:rsidR="002F5A04" w:rsidRPr="00211D01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036B88" w:rsidRPr="00211D01">
        <w:rPr>
          <w:rFonts w:asciiTheme="minorHAnsi" w:hAnsiTheme="minorHAnsi" w:cstheme="minorHAnsi"/>
          <w:sz w:val="24"/>
          <w:szCs w:val="22"/>
        </w:rPr>
        <w:t xml:space="preserve">October </w:t>
      </w:r>
      <w:r w:rsidR="00AB5B7F" w:rsidRPr="00211D01">
        <w:rPr>
          <w:rFonts w:asciiTheme="minorHAnsi" w:hAnsiTheme="minorHAnsi" w:cstheme="minorHAnsi"/>
          <w:sz w:val="24"/>
          <w:szCs w:val="22"/>
        </w:rPr>
        <w:t>2014</w:t>
      </w:r>
      <w:r w:rsidR="002F5A04" w:rsidRPr="00211D01">
        <w:rPr>
          <w:rFonts w:asciiTheme="minorHAnsi" w:hAnsiTheme="minorHAnsi" w:cstheme="minorHAnsi"/>
          <w:b/>
          <w:sz w:val="24"/>
          <w:szCs w:val="22"/>
        </w:rPr>
        <w:t xml:space="preserve"> </w:t>
      </w:r>
    </w:p>
    <w:p w:rsidR="00830F71" w:rsidRPr="00211D01" w:rsidRDefault="00830F71" w:rsidP="00830F7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4"/>
          <w:szCs w:val="22"/>
        </w:rPr>
      </w:pPr>
      <w:r w:rsidRPr="00211D01">
        <w:rPr>
          <w:rFonts w:asciiTheme="minorHAnsi" w:hAnsiTheme="minorHAnsi" w:cstheme="minorHAnsi"/>
          <w:b/>
          <w:sz w:val="24"/>
          <w:szCs w:val="22"/>
        </w:rPr>
        <w:t>Award ID:</w:t>
      </w:r>
      <w:r w:rsidR="002F5A04" w:rsidRPr="00211D01">
        <w:rPr>
          <w:rFonts w:asciiTheme="minorHAnsi" w:hAnsiTheme="minorHAnsi" w:cstheme="minorHAnsi"/>
          <w:sz w:val="24"/>
          <w:szCs w:val="22"/>
        </w:rPr>
        <w:t xml:space="preserve"> 000074124</w:t>
      </w:r>
    </w:p>
    <w:p w:rsidR="00830F71" w:rsidRPr="00211D01" w:rsidRDefault="00830F71" w:rsidP="00830F7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4"/>
          <w:szCs w:val="22"/>
        </w:rPr>
      </w:pPr>
      <w:r w:rsidRPr="00211D01">
        <w:rPr>
          <w:rFonts w:asciiTheme="minorHAnsi" w:hAnsiTheme="minorHAnsi" w:cstheme="minorHAnsi"/>
          <w:b/>
          <w:sz w:val="24"/>
          <w:szCs w:val="22"/>
        </w:rPr>
        <w:t>Description:</w:t>
      </w:r>
      <w:r w:rsidR="002F5A04" w:rsidRPr="00211D01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2F5A04" w:rsidRPr="00211D01">
        <w:rPr>
          <w:rFonts w:asciiTheme="minorHAnsi" w:hAnsiTheme="minorHAnsi" w:cstheme="minorHAnsi"/>
          <w:sz w:val="24"/>
          <w:szCs w:val="22"/>
        </w:rPr>
        <w:t>Livelihood support and social cohesion</w:t>
      </w:r>
    </w:p>
    <w:p w:rsidR="00830F71" w:rsidRPr="00211D01" w:rsidRDefault="00830F71" w:rsidP="00830F7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4"/>
          <w:szCs w:val="22"/>
        </w:rPr>
      </w:pPr>
      <w:r w:rsidRPr="00211D01">
        <w:rPr>
          <w:rFonts w:asciiTheme="minorHAnsi" w:hAnsiTheme="minorHAnsi" w:cstheme="minorHAnsi"/>
          <w:b/>
          <w:sz w:val="24"/>
          <w:szCs w:val="22"/>
        </w:rPr>
        <w:t>Implementing Partner:</w:t>
      </w:r>
      <w:r w:rsidR="002F5A04" w:rsidRPr="00211D01">
        <w:rPr>
          <w:rFonts w:asciiTheme="minorHAnsi" w:hAnsiTheme="minorHAnsi" w:cstheme="minorHAnsi"/>
          <w:sz w:val="24"/>
          <w:szCs w:val="22"/>
        </w:rPr>
        <w:t xml:space="preserve"> UNDP</w:t>
      </w:r>
    </w:p>
    <w:p w:rsidR="00830F71" w:rsidRPr="00211D01" w:rsidRDefault="00830F71" w:rsidP="00830F7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2"/>
        </w:rPr>
      </w:pPr>
      <w:r w:rsidRPr="00211D01">
        <w:rPr>
          <w:rFonts w:asciiTheme="minorHAnsi" w:hAnsiTheme="minorHAnsi" w:cstheme="minorHAnsi"/>
          <w:b/>
          <w:sz w:val="24"/>
          <w:szCs w:val="22"/>
        </w:rPr>
        <w:t>Period Covered:</w:t>
      </w:r>
      <w:r w:rsidR="002F5A04" w:rsidRPr="00211D01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036B88" w:rsidRPr="00211D01">
        <w:rPr>
          <w:rFonts w:asciiTheme="minorHAnsi" w:hAnsiTheme="minorHAnsi" w:cstheme="minorHAnsi"/>
          <w:sz w:val="24"/>
          <w:szCs w:val="22"/>
        </w:rPr>
        <w:t>July</w:t>
      </w:r>
      <w:r w:rsidR="000C2B09" w:rsidRPr="00211D01">
        <w:rPr>
          <w:rFonts w:asciiTheme="minorHAnsi" w:hAnsiTheme="minorHAnsi" w:cstheme="minorHAnsi"/>
          <w:sz w:val="24"/>
          <w:szCs w:val="22"/>
        </w:rPr>
        <w:t xml:space="preserve"> – </w:t>
      </w:r>
      <w:r w:rsidR="00036B88" w:rsidRPr="00211D01">
        <w:rPr>
          <w:rFonts w:asciiTheme="minorHAnsi" w:hAnsiTheme="minorHAnsi" w:cstheme="minorHAnsi"/>
          <w:sz w:val="24"/>
          <w:szCs w:val="22"/>
        </w:rPr>
        <w:t>September</w:t>
      </w:r>
      <w:r w:rsidR="000C2B09" w:rsidRPr="00211D01">
        <w:rPr>
          <w:rFonts w:asciiTheme="minorHAnsi" w:hAnsiTheme="minorHAnsi" w:cstheme="minorHAnsi"/>
          <w:sz w:val="24"/>
          <w:szCs w:val="22"/>
        </w:rPr>
        <w:t xml:space="preserve"> 2014</w:t>
      </w:r>
    </w:p>
    <w:p w:rsidR="00830F71" w:rsidRPr="00211D01" w:rsidRDefault="00830F71" w:rsidP="00830F71">
      <w:pPr>
        <w:spacing w:after="0"/>
        <w:jc w:val="both"/>
        <w:rPr>
          <w:rFonts w:cstheme="minorHAnsi"/>
          <w:sz w:val="24"/>
        </w:rPr>
      </w:pPr>
    </w:p>
    <w:p w:rsidR="00830F71" w:rsidRPr="00211D01" w:rsidRDefault="00830F71" w:rsidP="00830F71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b/>
          <w:sz w:val="24"/>
          <w:u w:val="single"/>
        </w:rPr>
        <w:t>1. Project Risks and Issues</w:t>
      </w:r>
      <w:r w:rsidR="00384FFC" w:rsidRPr="00211D01">
        <w:rPr>
          <w:rFonts w:cstheme="minorHAnsi"/>
          <w:b/>
          <w:sz w:val="24"/>
          <w:u w:val="single"/>
        </w:rPr>
        <w:t xml:space="preserve"> logs</w:t>
      </w:r>
      <w:r w:rsidRPr="00211D01">
        <w:rPr>
          <w:rFonts w:cstheme="minorHAnsi"/>
          <w:b/>
          <w:sz w:val="24"/>
          <w:u w:val="single"/>
        </w:rPr>
        <w:t>:</w:t>
      </w:r>
    </w:p>
    <w:p w:rsidR="00384FFC" w:rsidRPr="00211D01" w:rsidRDefault="00384FFC" w:rsidP="00830F71">
      <w:pPr>
        <w:spacing w:after="0"/>
        <w:jc w:val="both"/>
        <w:rPr>
          <w:rFonts w:cstheme="minorHAnsi"/>
          <w:sz w:val="24"/>
        </w:rPr>
      </w:pPr>
    </w:p>
    <w:p w:rsidR="00830F71" w:rsidRPr="00211D01" w:rsidRDefault="00384FFC" w:rsidP="00830F71">
      <w:pPr>
        <w:spacing w:after="0"/>
        <w:jc w:val="both"/>
        <w:rPr>
          <w:rFonts w:cstheme="minorHAnsi"/>
          <w:sz w:val="24"/>
          <w:u w:val="single"/>
        </w:rPr>
      </w:pPr>
      <w:r w:rsidRPr="00211D01">
        <w:rPr>
          <w:rFonts w:cstheme="minorHAnsi"/>
          <w:sz w:val="24"/>
        </w:rPr>
        <w:lastRenderedPageBreak/>
        <w:tab/>
      </w:r>
      <w:r w:rsidRPr="00211D01">
        <w:rPr>
          <w:rFonts w:cstheme="minorHAnsi"/>
          <w:sz w:val="24"/>
          <w:u w:val="single"/>
        </w:rPr>
        <w:t>Project Risk log</w:t>
      </w:r>
      <w:r w:rsidRPr="00211D01">
        <w:rPr>
          <w:rFonts w:cstheme="minorHAnsi"/>
          <w:sz w:val="24"/>
        </w:rPr>
        <w:t xml:space="preserve">: </w:t>
      </w:r>
      <w:r w:rsidRPr="00211D01">
        <w:rPr>
          <w:rFonts w:cstheme="minorHAnsi"/>
          <w:i/>
        </w:rPr>
        <w:t xml:space="preserve">Please integrate the latest project risk log (from previous quarter or </w:t>
      </w:r>
      <w:r w:rsidR="00D076DD" w:rsidRPr="00211D01">
        <w:rPr>
          <w:rFonts w:cstheme="minorHAnsi"/>
          <w:i/>
        </w:rPr>
        <w:t xml:space="preserve">original </w:t>
      </w:r>
      <w:r w:rsidRPr="00211D01">
        <w:rPr>
          <w:rFonts w:cstheme="minorHAnsi"/>
          <w:i/>
        </w:rPr>
        <w:t>project risk log if this is the first QPR for the project) and update as relevant</w:t>
      </w:r>
    </w:p>
    <w:p w:rsidR="00384FFC" w:rsidRPr="00211D01" w:rsidRDefault="00384FFC" w:rsidP="00830F71">
      <w:pPr>
        <w:spacing w:after="0"/>
        <w:jc w:val="both"/>
        <w:rPr>
          <w:rFonts w:cstheme="minorHAnsi"/>
          <w:sz w:val="24"/>
        </w:rPr>
      </w:pPr>
    </w:p>
    <w:tbl>
      <w:tblPr>
        <w:tblW w:w="15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1800"/>
        <w:gridCol w:w="1783"/>
        <w:gridCol w:w="1817"/>
        <w:gridCol w:w="2340"/>
        <w:gridCol w:w="1980"/>
        <w:gridCol w:w="1260"/>
        <w:gridCol w:w="1260"/>
        <w:gridCol w:w="1260"/>
        <w:gridCol w:w="1620"/>
      </w:tblGrid>
      <w:tr w:rsidR="00830F71" w:rsidRPr="00211D01" w:rsidTr="00333457">
        <w:trPr>
          <w:jc w:val="center"/>
        </w:trPr>
        <w:tc>
          <w:tcPr>
            <w:tcW w:w="372" w:type="dxa"/>
            <w:shd w:val="clear" w:color="auto" w:fill="FFCC00"/>
          </w:tcPr>
          <w:p w:rsidR="00830F71" w:rsidRPr="00211D01" w:rsidRDefault="00830F71" w:rsidP="00830F71">
            <w:pPr>
              <w:spacing w:after="0"/>
              <w:jc w:val="center"/>
              <w:rPr>
                <w:rFonts w:cs="Arial"/>
                <w:b/>
                <w:sz w:val="24"/>
              </w:rPr>
            </w:pPr>
            <w:r w:rsidRPr="00211D01">
              <w:rPr>
                <w:rFonts w:cs="Arial"/>
                <w:b/>
                <w:sz w:val="24"/>
              </w:rPr>
              <w:t>#</w:t>
            </w:r>
          </w:p>
        </w:tc>
        <w:tc>
          <w:tcPr>
            <w:tcW w:w="1800" w:type="dxa"/>
            <w:shd w:val="clear" w:color="auto" w:fill="FFCC00"/>
          </w:tcPr>
          <w:p w:rsidR="00830F71" w:rsidRPr="00211D01" w:rsidRDefault="00830F71" w:rsidP="00830F7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Description</w:t>
            </w:r>
          </w:p>
        </w:tc>
        <w:tc>
          <w:tcPr>
            <w:tcW w:w="1783" w:type="dxa"/>
            <w:shd w:val="clear" w:color="auto" w:fill="FFCC00"/>
          </w:tcPr>
          <w:p w:rsidR="00830F71" w:rsidRPr="00211D01" w:rsidRDefault="00830F71" w:rsidP="00830F7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Date Identified</w:t>
            </w:r>
          </w:p>
        </w:tc>
        <w:tc>
          <w:tcPr>
            <w:tcW w:w="1817" w:type="dxa"/>
            <w:shd w:val="clear" w:color="auto" w:fill="FFCC00"/>
          </w:tcPr>
          <w:p w:rsidR="00830F71" w:rsidRPr="00211D01" w:rsidRDefault="00830F71" w:rsidP="00830F7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Type</w:t>
            </w:r>
          </w:p>
        </w:tc>
        <w:tc>
          <w:tcPr>
            <w:tcW w:w="2340" w:type="dxa"/>
            <w:shd w:val="clear" w:color="auto" w:fill="FFCC00"/>
          </w:tcPr>
          <w:p w:rsidR="00830F71" w:rsidRPr="00211D01" w:rsidRDefault="00830F71" w:rsidP="00830F7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Impact &amp;</w:t>
            </w:r>
          </w:p>
          <w:p w:rsidR="00830F71" w:rsidRPr="00211D01" w:rsidRDefault="00830F71" w:rsidP="00830F7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Probability</w:t>
            </w:r>
          </w:p>
        </w:tc>
        <w:tc>
          <w:tcPr>
            <w:tcW w:w="1980" w:type="dxa"/>
            <w:shd w:val="clear" w:color="auto" w:fill="FFCC00"/>
          </w:tcPr>
          <w:p w:rsidR="00830F71" w:rsidRPr="00211D01" w:rsidRDefault="00830F71" w:rsidP="00830F7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Countermeasures / Mngt response</w:t>
            </w:r>
          </w:p>
        </w:tc>
        <w:tc>
          <w:tcPr>
            <w:tcW w:w="1260" w:type="dxa"/>
            <w:shd w:val="clear" w:color="auto" w:fill="FFCC00"/>
          </w:tcPr>
          <w:p w:rsidR="00830F71" w:rsidRPr="00211D01" w:rsidRDefault="00830F71" w:rsidP="00830F7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Owner</w:t>
            </w:r>
          </w:p>
        </w:tc>
        <w:tc>
          <w:tcPr>
            <w:tcW w:w="1260" w:type="dxa"/>
            <w:shd w:val="clear" w:color="auto" w:fill="FFCC00"/>
          </w:tcPr>
          <w:p w:rsidR="00830F71" w:rsidRPr="00211D01" w:rsidRDefault="00830F71" w:rsidP="00830F7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Submitted, updated by</w:t>
            </w:r>
          </w:p>
        </w:tc>
        <w:tc>
          <w:tcPr>
            <w:tcW w:w="1260" w:type="dxa"/>
            <w:shd w:val="clear" w:color="auto" w:fill="FFCC00"/>
          </w:tcPr>
          <w:p w:rsidR="00830F71" w:rsidRPr="00211D01" w:rsidRDefault="00830F71" w:rsidP="00830F7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Last Update</w:t>
            </w:r>
          </w:p>
        </w:tc>
        <w:tc>
          <w:tcPr>
            <w:tcW w:w="1620" w:type="dxa"/>
            <w:shd w:val="clear" w:color="auto" w:fill="FFCC00"/>
          </w:tcPr>
          <w:p w:rsidR="00830F71" w:rsidRPr="00211D01" w:rsidRDefault="00830F71" w:rsidP="00830F7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Status</w:t>
            </w:r>
          </w:p>
        </w:tc>
      </w:tr>
      <w:tr w:rsidR="00333457" w:rsidRPr="00211D01" w:rsidTr="00333457">
        <w:trPr>
          <w:jc w:val="center"/>
        </w:trPr>
        <w:tc>
          <w:tcPr>
            <w:tcW w:w="372" w:type="dxa"/>
          </w:tcPr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  <w:r w:rsidRPr="00211D0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  <w:r w:rsidRPr="00211D0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bCs/>
                <w:sz w:val="20"/>
              </w:rPr>
              <w:t>Armed conflict between government and ethnic armed groups in Kachin affecting safety, disrupting local livelihoods and project implementation</w:t>
            </w:r>
          </w:p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333457" w:rsidRPr="00211D01" w:rsidRDefault="00333457" w:rsidP="00333457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817" w:type="dxa"/>
          </w:tcPr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April 2013</w:t>
            </w:r>
          </w:p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333457" w:rsidRPr="00211D01" w:rsidRDefault="00333457" w:rsidP="00333457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340" w:type="dxa"/>
          </w:tcPr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 xml:space="preserve">Operational </w:t>
            </w:r>
          </w:p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Political</w:t>
            </w:r>
          </w:p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333457" w:rsidRPr="00211D01" w:rsidRDefault="00333457" w:rsidP="00333457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sz w:val="20"/>
              </w:rPr>
            </w:pPr>
            <w:r w:rsidRPr="00211D01">
              <w:rPr>
                <w:sz w:val="20"/>
              </w:rPr>
              <w:t>Security and safety issues for field staff, especially in ethnic minority areas</w:t>
            </w:r>
          </w:p>
          <w:p w:rsidR="00333457" w:rsidRPr="00211D01" w:rsidRDefault="00333457" w:rsidP="00333457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sz w:val="20"/>
              </w:rPr>
            </w:pPr>
            <w:r w:rsidRPr="00211D01">
              <w:rPr>
                <w:sz w:val="20"/>
              </w:rPr>
              <w:t>Impact on Travel Approval for international staff and consultant</w:t>
            </w:r>
          </w:p>
          <w:p w:rsidR="00333457" w:rsidRPr="00211D01" w:rsidRDefault="00333457" w:rsidP="00333457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sz w:val="20"/>
              </w:rPr>
            </w:pPr>
            <w:r w:rsidRPr="00211D01">
              <w:rPr>
                <w:sz w:val="20"/>
              </w:rPr>
              <w:t>Travel restrictions placing limitations on project implementation</w:t>
            </w:r>
          </w:p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P = 4</w:t>
            </w:r>
          </w:p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I =5</w:t>
            </w:r>
          </w:p>
          <w:p w:rsidR="00333457" w:rsidRPr="00211D01" w:rsidRDefault="00333457" w:rsidP="00333457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  <w:r w:rsidRPr="00211D01">
              <w:rPr>
                <w:rFonts w:cs="Arial"/>
                <w:sz w:val="20"/>
                <w:szCs w:val="20"/>
              </w:rPr>
              <w:t>Output Lead, Output 5</w:t>
            </w:r>
          </w:p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333457" w:rsidRPr="00211D01" w:rsidRDefault="00333457" w:rsidP="00333457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  <w:p w:rsidR="00333457" w:rsidRPr="00211D01" w:rsidRDefault="00333457" w:rsidP="00333457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 xml:space="preserve">Team Leader, Local Governance </w:t>
            </w:r>
          </w:p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333457" w:rsidRPr="00211D01" w:rsidRDefault="00333457" w:rsidP="00333457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333457" w:rsidRPr="00211D01" w:rsidRDefault="00333457" w:rsidP="00333457"/>
        </w:tc>
        <w:tc>
          <w:tcPr>
            <w:tcW w:w="1620" w:type="dxa"/>
          </w:tcPr>
          <w:p w:rsidR="00333457" w:rsidRPr="00211D01" w:rsidRDefault="00333457" w:rsidP="00333457">
            <w:r w:rsidRPr="00211D01">
              <w:rPr>
                <w:rFonts w:cstheme="minorHAnsi"/>
                <w:sz w:val="20"/>
                <w:szCs w:val="20"/>
              </w:rPr>
              <w:t>change</w:t>
            </w:r>
          </w:p>
        </w:tc>
      </w:tr>
      <w:tr w:rsidR="00333457" w:rsidRPr="00211D01" w:rsidTr="00333457">
        <w:trPr>
          <w:jc w:val="center"/>
        </w:trPr>
        <w:tc>
          <w:tcPr>
            <w:tcW w:w="372" w:type="dxa"/>
          </w:tcPr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  <w:r w:rsidRPr="00211D0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  <w:r w:rsidRPr="00211D0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  <w:r w:rsidRPr="00211D01">
              <w:rPr>
                <w:bCs/>
                <w:sz w:val="20"/>
              </w:rPr>
              <w:t xml:space="preserve">Ethnic riots in Rakhine affecting safety, disrupting </w:t>
            </w:r>
            <w:r w:rsidRPr="00211D01">
              <w:rPr>
                <w:bCs/>
                <w:sz w:val="20"/>
              </w:rPr>
              <w:lastRenderedPageBreak/>
              <w:t>local livelihoods and project implementation</w:t>
            </w:r>
          </w:p>
          <w:p w:rsidR="00333457" w:rsidRPr="00211D01" w:rsidRDefault="00333457" w:rsidP="0033345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lastRenderedPageBreak/>
              <w:t>April 2013</w:t>
            </w:r>
          </w:p>
          <w:p w:rsidR="00333457" w:rsidRPr="00211D01" w:rsidRDefault="00333457" w:rsidP="0033345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340" w:type="dxa"/>
          </w:tcPr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 xml:space="preserve">Operational </w:t>
            </w:r>
          </w:p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Political</w:t>
            </w:r>
          </w:p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33457" w:rsidRPr="00211D01" w:rsidRDefault="00333457" w:rsidP="00333457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sz w:val="20"/>
              </w:rPr>
            </w:pPr>
            <w:r w:rsidRPr="00211D01">
              <w:rPr>
                <w:sz w:val="20"/>
              </w:rPr>
              <w:t xml:space="preserve">Security and safety issues for field staff, </w:t>
            </w:r>
            <w:r w:rsidRPr="00211D01">
              <w:rPr>
                <w:sz w:val="20"/>
              </w:rPr>
              <w:lastRenderedPageBreak/>
              <w:t>especially in ethnic minority areas</w:t>
            </w:r>
          </w:p>
          <w:p w:rsidR="00333457" w:rsidRPr="00211D01" w:rsidRDefault="00333457" w:rsidP="00333457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sz w:val="20"/>
              </w:rPr>
            </w:pPr>
            <w:r w:rsidRPr="00211D01">
              <w:rPr>
                <w:sz w:val="20"/>
              </w:rPr>
              <w:t>Riots spreading to other regions and across the country</w:t>
            </w:r>
          </w:p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P = 4</w:t>
            </w:r>
          </w:p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I =5</w:t>
            </w:r>
          </w:p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  <w:r w:rsidRPr="00211D01">
              <w:rPr>
                <w:rFonts w:cs="Arial"/>
                <w:sz w:val="20"/>
                <w:szCs w:val="20"/>
              </w:rPr>
              <w:lastRenderedPageBreak/>
              <w:t>Output Lead, Output 5</w:t>
            </w:r>
          </w:p>
          <w:p w:rsidR="00333457" w:rsidRPr="00211D01" w:rsidRDefault="00333457" w:rsidP="0033345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 xml:space="preserve">Team Leader, </w:t>
            </w:r>
            <w:r w:rsidRPr="00211D01">
              <w:rPr>
                <w:rFonts w:cstheme="minorHAnsi"/>
                <w:sz w:val="20"/>
                <w:szCs w:val="20"/>
              </w:rPr>
              <w:lastRenderedPageBreak/>
              <w:t xml:space="preserve">Local Governance </w:t>
            </w:r>
          </w:p>
          <w:p w:rsidR="00333457" w:rsidRPr="00211D01" w:rsidRDefault="00333457" w:rsidP="0033345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33457" w:rsidRPr="00211D01" w:rsidRDefault="00333457" w:rsidP="0033345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33457" w:rsidRPr="00211D01" w:rsidRDefault="00333457" w:rsidP="00333457">
            <w:pPr>
              <w:spacing w:after="0"/>
              <w:jc w:val="center"/>
              <w:rPr>
                <w:rFonts w:cs="Arial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change</w:t>
            </w:r>
          </w:p>
        </w:tc>
      </w:tr>
      <w:tr w:rsidR="00E30900" w:rsidRPr="00211D01" w:rsidTr="00333457">
        <w:trPr>
          <w:jc w:val="center"/>
        </w:trPr>
        <w:tc>
          <w:tcPr>
            <w:tcW w:w="372" w:type="dxa"/>
          </w:tcPr>
          <w:p w:rsidR="00E30900" w:rsidRPr="00211D01" w:rsidRDefault="00E30900" w:rsidP="00E30900">
            <w:pPr>
              <w:spacing w:after="0"/>
              <w:rPr>
                <w:rFonts w:cs="Arial"/>
                <w:sz w:val="20"/>
                <w:szCs w:val="20"/>
              </w:rPr>
            </w:pPr>
            <w:r w:rsidRPr="00211D01"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800" w:type="dxa"/>
          </w:tcPr>
          <w:p w:rsidR="00E30900" w:rsidRPr="00211D01" w:rsidRDefault="00E30900" w:rsidP="00E30900">
            <w:pPr>
              <w:spacing w:after="0"/>
              <w:rPr>
                <w:rFonts w:cs="Arial"/>
                <w:sz w:val="20"/>
                <w:szCs w:val="20"/>
              </w:rPr>
            </w:pPr>
            <w:r w:rsidRPr="00211D0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83" w:type="dxa"/>
          </w:tcPr>
          <w:p w:rsidR="00E30900" w:rsidRPr="00211D01" w:rsidRDefault="00AC5555" w:rsidP="00AC5555">
            <w:pPr>
              <w:spacing w:after="0"/>
              <w:rPr>
                <w:bCs/>
                <w:sz w:val="20"/>
              </w:rPr>
            </w:pPr>
            <w:r w:rsidRPr="00211D01">
              <w:rPr>
                <w:bCs/>
                <w:sz w:val="20"/>
              </w:rPr>
              <w:t xml:space="preserve">Fighting between Myanmar Army and DKBA forces </w:t>
            </w:r>
            <w:r w:rsidR="00036B88" w:rsidRPr="00211D01">
              <w:rPr>
                <w:bCs/>
                <w:sz w:val="20"/>
              </w:rPr>
              <w:t>in Kyaikm</w:t>
            </w:r>
            <w:r w:rsidR="00F8791A">
              <w:rPr>
                <w:bCs/>
                <w:sz w:val="20"/>
              </w:rPr>
              <w:t xml:space="preserve">ayaw Township, Mon State and </w:t>
            </w:r>
            <w:r w:rsidRPr="00211D01">
              <w:rPr>
                <w:bCs/>
                <w:sz w:val="20"/>
              </w:rPr>
              <w:t>Myawaddy Township Kayin State. The clashes involved the use of Rocket Propelled Grenades (RPG) and heavy machine guns.   </w:t>
            </w:r>
          </w:p>
        </w:tc>
        <w:tc>
          <w:tcPr>
            <w:tcW w:w="1817" w:type="dxa"/>
          </w:tcPr>
          <w:p w:rsidR="00E30900" w:rsidRPr="00211D01" w:rsidRDefault="00E30900" w:rsidP="00E30900">
            <w:pPr>
              <w:spacing w:after="0"/>
              <w:rPr>
                <w:rFonts w:cs="Arial"/>
                <w:sz w:val="20"/>
                <w:szCs w:val="20"/>
              </w:rPr>
            </w:pPr>
            <w:r w:rsidRPr="00211D01">
              <w:rPr>
                <w:rFonts w:cs="Arial"/>
                <w:sz w:val="20"/>
                <w:szCs w:val="20"/>
              </w:rPr>
              <w:t>September 2014</w:t>
            </w:r>
          </w:p>
        </w:tc>
        <w:tc>
          <w:tcPr>
            <w:tcW w:w="2340" w:type="dxa"/>
          </w:tcPr>
          <w:p w:rsidR="00E30900" w:rsidRPr="00211D01" w:rsidRDefault="00E30900" w:rsidP="00E309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 xml:space="preserve">Operational </w:t>
            </w:r>
          </w:p>
          <w:p w:rsidR="00E30900" w:rsidRPr="00211D01" w:rsidRDefault="00E30900" w:rsidP="00E309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Political</w:t>
            </w:r>
          </w:p>
          <w:p w:rsidR="00E30900" w:rsidRPr="00211D01" w:rsidRDefault="00E30900" w:rsidP="00E3090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E30900" w:rsidRPr="00211D01" w:rsidRDefault="00E30900" w:rsidP="00E30900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sz w:val="20"/>
              </w:rPr>
            </w:pPr>
            <w:r w:rsidRPr="00211D01">
              <w:rPr>
                <w:sz w:val="20"/>
              </w:rPr>
              <w:t>Security and safety issues for field staff</w:t>
            </w:r>
          </w:p>
          <w:p w:rsidR="00A83771" w:rsidRPr="00211D01" w:rsidRDefault="00A83771" w:rsidP="00A83771">
            <w:pPr>
              <w:jc w:val="both"/>
              <w:rPr>
                <w:sz w:val="20"/>
              </w:rPr>
            </w:pPr>
          </w:p>
          <w:p w:rsidR="00A83771" w:rsidRPr="00211D01" w:rsidRDefault="00A83771" w:rsidP="00A83771">
            <w:pPr>
              <w:jc w:val="both"/>
              <w:rPr>
                <w:sz w:val="20"/>
              </w:rPr>
            </w:pPr>
          </w:p>
          <w:p w:rsidR="00A83771" w:rsidRPr="00211D01" w:rsidRDefault="00A83771" w:rsidP="00A83771">
            <w:pPr>
              <w:jc w:val="both"/>
              <w:rPr>
                <w:sz w:val="20"/>
              </w:rPr>
            </w:pPr>
          </w:p>
          <w:p w:rsidR="00A83771" w:rsidRPr="00211D01" w:rsidRDefault="00A83771" w:rsidP="00A83771">
            <w:pPr>
              <w:jc w:val="both"/>
              <w:rPr>
                <w:sz w:val="20"/>
              </w:rPr>
            </w:pPr>
          </w:p>
          <w:p w:rsidR="00A83771" w:rsidRPr="00211D01" w:rsidRDefault="00A83771" w:rsidP="00A83771">
            <w:pPr>
              <w:jc w:val="both"/>
              <w:rPr>
                <w:sz w:val="20"/>
              </w:rPr>
            </w:pPr>
          </w:p>
          <w:p w:rsidR="00A83771" w:rsidRPr="00211D01" w:rsidRDefault="00A83771" w:rsidP="00A83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P = 4</w:t>
            </w:r>
          </w:p>
          <w:p w:rsidR="00A83771" w:rsidRPr="00211D01" w:rsidRDefault="00A83771" w:rsidP="00A83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I =5</w:t>
            </w:r>
          </w:p>
        </w:tc>
        <w:tc>
          <w:tcPr>
            <w:tcW w:w="1260" w:type="dxa"/>
          </w:tcPr>
          <w:p w:rsidR="00E30900" w:rsidRPr="00211D01" w:rsidRDefault="00E30900" w:rsidP="00E30900">
            <w:pPr>
              <w:spacing w:after="0"/>
              <w:rPr>
                <w:rFonts w:cs="Arial"/>
                <w:sz w:val="20"/>
                <w:szCs w:val="20"/>
              </w:rPr>
            </w:pPr>
            <w:r w:rsidRPr="00211D01">
              <w:rPr>
                <w:rFonts w:cs="Arial"/>
                <w:sz w:val="20"/>
                <w:szCs w:val="20"/>
              </w:rPr>
              <w:t>Output Lead, Output 5</w:t>
            </w:r>
          </w:p>
          <w:p w:rsidR="00E30900" w:rsidRPr="00211D01" w:rsidRDefault="00E30900" w:rsidP="00E3090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:rsidR="00E30900" w:rsidRPr="00211D01" w:rsidRDefault="00E30900" w:rsidP="00E309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 xml:space="preserve">Team Leader, Local Governance </w:t>
            </w:r>
          </w:p>
        </w:tc>
        <w:tc>
          <w:tcPr>
            <w:tcW w:w="1260" w:type="dxa"/>
          </w:tcPr>
          <w:p w:rsidR="00E30900" w:rsidRPr="00211D01" w:rsidRDefault="00E30900" w:rsidP="00E3090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620" w:type="dxa"/>
          </w:tcPr>
          <w:p w:rsidR="00E30900" w:rsidRPr="00211D01" w:rsidRDefault="00E30900" w:rsidP="00E30900">
            <w:pPr>
              <w:spacing w:after="0"/>
              <w:rPr>
                <w:rFonts w:cs="Arial"/>
                <w:szCs w:val="20"/>
              </w:rPr>
            </w:pPr>
          </w:p>
        </w:tc>
      </w:tr>
    </w:tbl>
    <w:p w:rsidR="00830F71" w:rsidRPr="00211D01" w:rsidRDefault="00830F71" w:rsidP="00830F71">
      <w:pPr>
        <w:spacing w:after="0"/>
        <w:jc w:val="both"/>
        <w:rPr>
          <w:rFonts w:cstheme="minorHAnsi"/>
          <w:sz w:val="24"/>
        </w:rPr>
      </w:pPr>
    </w:p>
    <w:p w:rsidR="00611A7D" w:rsidRPr="00211D01" w:rsidRDefault="00611A7D" w:rsidP="00384FFC">
      <w:pPr>
        <w:spacing w:after="0"/>
        <w:ind w:firstLine="720"/>
        <w:jc w:val="both"/>
        <w:rPr>
          <w:rFonts w:cstheme="minorHAnsi"/>
          <w:sz w:val="24"/>
          <w:u w:val="single"/>
        </w:rPr>
      </w:pPr>
    </w:p>
    <w:p w:rsidR="00611A7D" w:rsidRPr="00211D01" w:rsidRDefault="00611A7D" w:rsidP="00384FFC">
      <w:pPr>
        <w:spacing w:after="0"/>
        <w:ind w:firstLine="720"/>
        <w:jc w:val="both"/>
        <w:rPr>
          <w:rFonts w:cstheme="minorHAnsi"/>
          <w:sz w:val="24"/>
          <w:u w:val="single"/>
        </w:rPr>
      </w:pPr>
    </w:p>
    <w:p w:rsidR="00611A7D" w:rsidRDefault="00611A7D" w:rsidP="00384FFC">
      <w:pPr>
        <w:spacing w:after="0"/>
        <w:ind w:firstLine="720"/>
        <w:jc w:val="both"/>
        <w:rPr>
          <w:rFonts w:cstheme="minorHAnsi"/>
          <w:sz w:val="24"/>
          <w:u w:val="single"/>
        </w:rPr>
      </w:pPr>
    </w:p>
    <w:p w:rsidR="00F8791A" w:rsidRPr="00211D01" w:rsidRDefault="00F8791A" w:rsidP="00384FFC">
      <w:pPr>
        <w:spacing w:after="0"/>
        <w:ind w:firstLine="720"/>
        <w:jc w:val="both"/>
        <w:rPr>
          <w:rFonts w:cstheme="minorHAnsi"/>
          <w:sz w:val="24"/>
          <w:u w:val="single"/>
        </w:rPr>
      </w:pPr>
    </w:p>
    <w:p w:rsidR="00611A7D" w:rsidRPr="00211D01" w:rsidRDefault="00611A7D" w:rsidP="00384FFC">
      <w:pPr>
        <w:spacing w:after="0"/>
        <w:ind w:firstLine="720"/>
        <w:jc w:val="both"/>
        <w:rPr>
          <w:rFonts w:cstheme="minorHAnsi"/>
          <w:sz w:val="24"/>
          <w:u w:val="single"/>
        </w:rPr>
      </w:pPr>
    </w:p>
    <w:p w:rsidR="00384FFC" w:rsidRPr="00211D01" w:rsidRDefault="00384FFC" w:rsidP="00384FFC">
      <w:pPr>
        <w:spacing w:after="0"/>
        <w:ind w:firstLine="72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  <w:u w:val="single"/>
        </w:rPr>
        <w:t>Project Issues Log:</w:t>
      </w:r>
      <w:r w:rsidRPr="00211D01">
        <w:rPr>
          <w:rFonts w:cstheme="minorHAnsi"/>
          <w:sz w:val="24"/>
        </w:rPr>
        <w:t xml:space="preserve"> </w:t>
      </w:r>
      <w:r w:rsidRPr="00211D01">
        <w:rPr>
          <w:rFonts w:cstheme="minorHAnsi"/>
          <w:i/>
        </w:rPr>
        <w:t>Please integrate the latest project issues log (from previous quarter) and update as relevant – or if this the first QPR of the project, fill in the below template</w:t>
      </w:r>
    </w:p>
    <w:p w:rsidR="00384FFC" w:rsidRPr="00211D01" w:rsidRDefault="00384FFC" w:rsidP="00384FFC">
      <w:pPr>
        <w:spacing w:after="0"/>
        <w:jc w:val="both"/>
        <w:rPr>
          <w:rFonts w:cstheme="minorHAnsi"/>
          <w:sz w:val="24"/>
        </w:rPr>
      </w:pPr>
    </w:p>
    <w:tbl>
      <w:tblPr>
        <w:tblW w:w="15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1620"/>
        <w:gridCol w:w="1260"/>
        <w:gridCol w:w="1800"/>
        <w:gridCol w:w="2520"/>
        <w:gridCol w:w="2520"/>
        <w:gridCol w:w="1254"/>
        <w:gridCol w:w="1266"/>
        <w:gridCol w:w="1260"/>
        <w:gridCol w:w="1620"/>
      </w:tblGrid>
      <w:tr w:rsidR="00384FFC" w:rsidRPr="00211D01" w:rsidTr="009337BF">
        <w:trPr>
          <w:jc w:val="center"/>
        </w:trPr>
        <w:tc>
          <w:tcPr>
            <w:tcW w:w="372" w:type="dxa"/>
            <w:shd w:val="clear" w:color="auto" w:fill="FFCC00"/>
          </w:tcPr>
          <w:p w:rsidR="00384FFC" w:rsidRPr="00211D01" w:rsidRDefault="00384FFC" w:rsidP="00384FFC">
            <w:pPr>
              <w:spacing w:after="0"/>
              <w:jc w:val="center"/>
              <w:rPr>
                <w:rFonts w:cs="Arial"/>
                <w:b/>
                <w:sz w:val="24"/>
              </w:rPr>
            </w:pPr>
            <w:r w:rsidRPr="00211D01">
              <w:rPr>
                <w:rFonts w:cs="Arial"/>
                <w:b/>
                <w:sz w:val="24"/>
              </w:rPr>
              <w:t>#</w:t>
            </w:r>
          </w:p>
        </w:tc>
        <w:tc>
          <w:tcPr>
            <w:tcW w:w="1620" w:type="dxa"/>
            <w:shd w:val="clear" w:color="auto" w:fill="FFCC00"/>
          </w:tcPr>
          <w:p w:rsidR="00384FFC" w:rsidRPr="00211D01" w:rsidRDefault="00384FFC" w:rsidP="00384FF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Description</w:t>
            </w:r>
          </w:p>
        </w:tc>
        <w:tc>
          <w:tcPr>
            <w:tcW w:w="1260" w:type="dxa"/>
            <w:shd w:val="clear" w:color="auto" w:fill="FFCC00"/>
          </w:tcPr>
          <w:p w:rsidR="00384FFC" w:rsidRPr="00211D01" w:rsidRDefault="00384FFC" w:rsidP="00384FF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Date Identified</w:t>
            </w:r>
          </w:p>
        </w:tc>
        <w:tc>
          <w:tcPr>
            <w:tcW w:w="1800" w:type="dxa"/>
            <w:shd w:val="clear" w:color="auto" w:fill="FFCC00"/>
          </w:tcPr>
          <w:p w:rsidR="00384FFC" w:rsidRPr="00211D01" w:rsidRDefault="00384FFC" w:rsidP="00384FF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Type</w:t>
            </w:r>
          </w:p>
        </w:tc>
        <w:tc>
          <w:tcPr>
            <w:tcW w:w="2520" w:type="dxa"/>
            <w:shd w:val="clear" w:color="auto" w:fill="FFCC00"/>
          </w:tcPr>
          <w:p w:rsidR="00384FFC" w:rsidRPr="00211D01" w:rsidRDefault="00384FFC" w:rsidP="00384FF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Impact &amp;</w:t>
            </w:r>
          </w:p>
          <w:p w:rsidR="00384FFC" w:rsidRPr="00211D01" w:rsidRDefault="00384FFC" w:rsidP="00384FF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Priority</w:t>
            </w:r>
          </w:p>
        </w:tc>
        <w:tc>
          <w:tcPr>
            <w:tcW w:w="2520" w:type="dxa"/>
            <w:shd w:val="clear" w:color="auto" w:fill="FFCC00"/>
          </w:tcPr>
          <w:p w:rsidR="00384FFC" w:rsidRPr="00211D01" w:rsidRDefault="00384FFC" w:rsidP="00384FF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Countermeasures / Mngt response</w:t>
            </w:r>
          </w:p>
        </w:tc>
        <w:tc>
          <w:tcPr>
            <w:tcW w:w="1254" w:type="dxa"/>
            <w:shd w:val="clear" w:color="auto" w:fill="FFCC00"/>
          </w:tcPr>
          <w:p w:rsidR="00384FFC" w:rsidRPr="00211D01" w:rsidRDefault="00384FFC" w:rsidP="00384FF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Owner</w:t>
            </w:r>
          </w:p>
        </w:tc>
        <w:tc>
          <w:tcPr>
            <w:tcW w:w="1266" w:type="dxa"/>
            <w:shd w:val="clear" w:color="auto" w:fill="FFCC00"/>
          </w:tcPr>
          <w:p w:rsidR="00384FFC" w:rsidRPr="00211D01" w:rsidRDefault="00384FFC" w:rsidP="00384FF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Submitted, updated by</w:t>
            </w:r>
          </w:p>
        </w:tc>
        <w:tc>
          <w:tcPr>
            <w:tcW w:w="1260" w:type="dxa"/>
            <w:shd w:val="clear" w:color="auto" w:fill="FFCC00"/>
          </w:tcPr>
          <w:p w:rsidR="00384FFC" w:rsidRPr="00211D01" w:rsidRDefault="00384FFC" w:rsidP="00384FF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Last Update</w:t>
            </w:r>
          </w:p>
        </w:tc>
        <w:tc>
          <w:tcPr>
            <w:tcW w:w="1620" w:type="dxa"/>
            <w:shd w:val="clear" w:color="auto" w:fill="FFCC00"/>
          </w:tcPr>
          <w:p w:rsidR="00384FFC" w:rsidRPr="00211D01" w:rsidRDefault="00384FFC" w:rsidP="00384FF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Status</w:t>
            </w:r>
          </w:p>
        </w:tc>
      </w:tr>
      <w:tr w:rsidR="00333457" w:rsidRPr="00211D01" w:rsidTr="009337BF">
        <w:trPr>
          <w:jc w:val="center"/>
        </w:trPr>
        <w:tc>
          <w:tcPr>
            <w:tcW w:w="372" w:type="dxa"/>
          </w:tcPr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  <w:r w:rsidRPr="00211D0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Lengthy  recruitment processes</w:t>
            </w:r>
          </w:p>
          <w:p w:rsidR="00333457" w:rsidRPr="00211D01" w:rsidRDefault="00333457" w:rsidP="00333457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</w:p>
          <w:p w:rsidR="00333457" w:rsidRPr="00211D01" w:rsidRDefault="00333457" w:rsidP="00333457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March</w:t>
            </w:r>
          </w:p>
          <w:p w:rsidR="00333457" w:rsidRPr="00211D01" w:rsidRDefault="00333457" w:rsidP="00333457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333457" w:rsidRPr="00211D01" w:rsidRDefault="00333457" w:rsidP="00333457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Delays project start-up and implementation</w:t>
            </w:r>
          </w:p>
          <w:p w:rsidR="00333457" w:rsidRPr="00211D01" w:rsidRDefault="00333457" w:rsidP="0033345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Priority =4</w:t>
            </w:r>
          </w:p>
          <w:p w:rsidR="00333457" w:rsidRPr="00211D01" w:rsidRDefault="00333457" w:rsidP="00333457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Fast-track international and national recruitments</w:t>
            </w:r>
          </w:p>
          <w:p w:rsidR="00333457" w:rsidRPr="00211D01" w:rsidRDefault="00333457" w:rsidP="00333457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54" w:type="dxa"/>
          </w:tcPr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  <w:r w:rsidRPr="00211D01">
              <w:rPr>
                <w:rFonts w:cs="Arial"/>
                <w:sz w:val="20"/>
                <w:szCs w:val="20"/>
              </w:rPr>
              <w:t>Output Lead, Output 5</w:t>
            </w:r>
          </w:p>
          <w:p w:rsidR="00333457" w:rsidRPr="00211D01" w:rsidRDefault="00333457" w:rsidP="00333457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66" w:type="dxa"/>
          </w:tcPr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 xml:space="preserve">Team Leader, Local Governance </w:t>
            </w:r>
          </w:p>
          <w:p w:rsidR="00333457" w:rsidRPr="00211D01" w:rsidRDefault="00333457" w:rsidP="00333457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333457" w:rsidRPr="00211D01" w:rsidRDefault="00333457" w:rsidP="00333457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333457" w:rsidRPr="00211D01" w:rsidRDefault="00333457" w:rsidP="00333457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</w:tr>
      <w:tr w:rsidR="00333457" w:rsidRPr="00211D01" w:rsidTr="009337BF">
        <w:trPr>
          <w:jc w:val="center"/>
        </w:trPr>
        <w:tc>
          <w:tcPr>
            <w:tcW w:w="372" w:type="dxa"/>
          </w:tcPr>
          <w:p w:rsidR="00333457" w:rsidRPr="00211D01" w:rsidRDefault="00F8791A" w:rsidP="0033345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333457" w:rsidRPr="00211D01" w:rsidRDefault="00F8791A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Lengthy procurement process</w:t>
            </w:r>
          </w:p>
        </w:tc>
        <w:tc>
          <w:tcPr>
            <w:tcW w:w="1260" w:type="dxa"/>
          </w:tcPr>
          <w:p w:rsidR="00333457" w:rsidRPr="00211D01" w:rsidRDefault="00F8791A" w:rsidP="0033345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December 2014</w:t>
            </w:r>
          </w:p>
        </w:tc>
        <w:tc>
          <w:tcPr>
            <w:tcW w:w="1800" w:type="dxa"/>
          </w:tcPr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791A" w:rsidRPr="00211D01" w:rsidRDefault="00F8791A" w:rsidP="00F8791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Delays project start-up and implementation</w:t>
            </w:r>
          </w:p>
          <w:p w:rsidR="00F8791A" w:rsidRPr="00211D01" w:rsidRDefault="00F8791A" w:rsidP="00F879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:rsidR="00F8791A" w:rsidRPr="00211D01" w:rsidRDefault="00F8791A" w:rsidP="00F8791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Priority =4</w:t>
            </w:r>
          </w:p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33457" w:rsidRPr="00F8791A" w:rsidRDefault="00F8791A" w:rsidP="00F8791A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F8791A">
              <w:rPr>
                <w:rFonts w:cs="Arial"/>
                <w:sz w:val="20"/>
                <w:szCs w:val="20"/>
              </w:rPr>
              <w:lastRenderedPageBreak/>
              <w:t xml:space="preserve">Management level engagement with regional and HQ compliance review </w:t>
            </w:r>
            <w:r w:rsidRPr="00F8791A">
              <w:rPr>
                <w:rFonts w:cs="Arial"/>
                <w:sz w:val="20"/>
                <w:szCs w:val="20"/>
              </w:rPr>
              <w:lastRenderedPageBreak/>
              <w:t>panels to sensitize on country context</w:t>
            </w:r>
          </w:p>
        </w:tc>
        <w:tc>
          <w:tcPr>
            <w:tcW w:w="1254" w:type="dxa"/>
          </w:tcPr>
          <w:p w:rsidR="00333457" w:rsidRPr="00211D01" w:rsidRDefault="00333457" w:rsidP="0033345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266" w:type="dxa"/>
          </w:tcPr>
          <w:p w:rsidR="00333457" w:rsidRPr="00211D01" w:rsidRDefault="00333457" w:rsidP="0033345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:rsidR="00333457" w:rsidRPr="00211D01" w:rsidRDefault="00F8791A" w:rsidP="0033345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December 2014</w:t>
            </w:r>
          </w:p>
        </w:tc>
        <w:tc>
          <w:tcPr>
            <w:tcW w:w="1620" w:type="dxa"/>
          </w:tcPr>
          <w:p w:rsidR="00333457" w:rsidRPr="00211D01" w:rsidRDefault="00333457" w:rsidP="00333457">
            <w:pPr>
              <w:spacing w:after="0"/>
              <w:rPr>
                <w:rFonts w:cs="Arial"/>
                <w:szCs w:val="20"/>
              </w:rPr>
            </w:pPr>
          </w:p>
        </w:tc>
      </w:tr>
    </w:tbl>
    <w:p w:rsidR="00384FFC" w:rsidRPr="00211D01" w:rsidRDefault="00384FFC" w:rsidP="00384FFC">
      <w:pPr>
        <w:spacing w:after="0"/>
        <w:jc w:val="both"/>
        <w:rPr>
          <w:rFonts w:cstheme="minorHAnsi"/>
          <w:sz w:val="24"/>
        </w:rPr>
      </w:pPr>
    </w:p>
    <w:p w:rsidR="00384FFC" w:rsidRPr="00211D01" w:rsidRDefault="00384FFC" w:rsidP="00384FFC">
      <w:pPr>
        <w:spacing w:after="0"/>
        <w:jc w:val="both"/>
        <w:rPr>
          <w:rFonts w:cstheme="minorHAnsi"/>
          <w:sz w:val="24"/>
        </w:rPr>
      </w:pPr>
    </w:p>
    <w:p w:rsidR="00D076DD" w:rsidRPr="00211D01" w:rsidRDefault="00D076DD" w:rsidP="00384FFC">
      <w:pPr>
        <w:spacing w:after="0"/>
        <w:jc w:val="both"/>
        <w:rPr>
          <w:rFonts w:cstheme="minorHAnsi"/>
          <w:sz w:val="24"/>
        </w:rPr>
        <w:sectPr w:rsidR="00D076DD" w:rsidRPr="00211D01" w:rsidSect="00384FFC"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27D29" w:rsidRPr="00211D01" w:rsidRDefault="00B27D29" w:rsidP="00B27D29">
      <w:pPr>
        <w:spacing w:after="0"/>
        <w:jc w:val="both"/>
        <w:rPr>
          <w:rFonts w:cstheme="minorHAnsi"/>
          <w:i/>
          <w:sz w:val="24"/>
        </w:rPr>
      </w:pPr>
      <w:r w:rsidRPr="00211D01">
        <w:rPr>
          <w:rFonts w:cstheme="minorHAnsi"/>
          <w:b/>
          <w:sz w:val="24"/>
          <w:u w:val="single"/>
        </w:rPr>
        <w:lastRenderedPageBreak/>
        <w:t>2. Project Performance:</w:t>
      </w:r>
      <w:r w:rsidR="00FE5FC7" w:rsidRPr="00211D01">
        <w:rPr>
          <w:rFonts w:cstheme="minorHAnsi"/>
          <w:b/>
          <w:sz w:val="24"/>
          <w:u w:val="single"/>
        </w:rPr>
        <w:t xml:space="preserve"> </w:t>
      </w:r>
      <w:r w:rsidR="00FE5FC7" w:rsidRPr="00211D01">
        <w:rPr>
          <w:rFonts w:cstheme="minorHAnsi"/>
          <w:i/>
          <w:sz w:val="24"/>
        </w:rPr>
        <w:t>[this is at the CP output level]</w:t>
      </w:r>
    </w:p>
    <w:p w:rsidR="00384FFC" w:rsidRPr="00211D01" w:rsidRDefault="00384FFC" w:rsidP="00384FFC">
      <w:pPr>
        <w:spacing w:after="0"/>
        <w:jc w:val="both"/>
        <w:rPr>
          <w:rFonts w:cstheme="minorHAnsi"/>
          <w:sz w:val="24"/>
        </w:rPr>
      </w:pPr>
    </w:p>
    <w:p w:rsidR="00B27D29" w:rsidRPr="00211D01" w:rsidRDefault="00B27D29" w:rsidP="00384FFC">
      <w:pPr>
        <w:spacing w:after="0"/>
        <w:jc w:val="both"/>
        <w:rPr>
          <w:rFonts w:cstheme="minorHAnsi"/>
          <w:sz w:val="24"/>
          <w:szCs w:val="24"/>
        </w:rPr>
      </w:pPr>
      <w:r w:rsidRPr="00211D01">
        <w:rPr>
          <w:rFonts w:cstheme="minorHAnsi"/>
          <w:sz w:val="24"/>
          <w:szCs w:val="24"/>
        </w:rPr>
        <w:t>Project ID:</w:t>
      </w:r>
      <w:r w:rsidR="009337BF" w:rsidRPr="00211D01">
        <w:rPr>
          <w:rFonts w:cstheme="minorHAnsi"/>
          <w:sz w:val="24"/>
          <w:szCs w:val="24"/>
        </w:rPr>
        <w:t xml:space="preserve"> 00086669</w:t>
      </w:r>
    </w:p>
    <w:p w:rsidR="00B27D29" w:rsidRPr="00211D01" w:rsidRDefault="00B27D29" w:rsidP="00384FFC">
      <w:pPr>
        <w:spacing w:after="0"/>
        <w:jc w:val="both"/>
        <w:rPr>
          <w:rFonts w:cstheme="minorHAnsi"/>
          <w:sz w:val="24"/>
          <w:szCs w:val="24"/>
        </w:rPr>
      </w:pPr>
      <w:r w:rsidRPr="00211D01">
        <w:rPr>
          <w:rFonts w:cstheme="minorHAnsi"/>
          <w:sz w:val="24"/>
          <w:szCs w:val="24"/>
        </w:rPr>
        <w:t>Description:</w:t>
      </w:r>
      <w:r w:rsidR="009337BF" w:rsidRPr="00211D01">
        <w:rPr>
          <w:rFonts w:cstheme="minorHAnsi"/>
          <w:sz w:val="24"/>
          <w:szCs w:val="24"/>
        </w:rPr>
        <w:t xml:space="preserve"> Improved livelihood and social cohesion</w:t>
      </w:r>
    </w:p>
    <w:p w:rsidR="00B27D29" w:rsidRPr="00211D01" w:rsidRDefault="00FE5FC7" w:rsidP="00384FFC">
      <w:pPr>
        <w:spacing w:after="0"/>
        <w:jc w:val="both"/>
        <w:rPr>
          <w:rFonts w:cstheme="minorHAnsi"/>
          <w:sz w:val="24"/>
          <w:szCs w:val="24"/>
        </w:rPr>
      </w:pPr>
      <w:r w:rsidRPr="00211D01">
        <w:rPr>
          <w:rFonts w:cstheme="minorHAnsi"/>
          <w:sz w:val="24"/>
          <w:szCs w:val="24"/>
        </w:rPr>
        <w:t>Implementing Partner:</w:t>
      </w:r>
      <w:r w:rsidR="009337BF" w:rsidRPr="00211D01">
        <w:rPr>
          <w:rFonts w:cstheme="minorHAnsi"/>
          <w:sz w:val="24"/>
          <w:szCs w:val="24"/>
        </w:rPr>
        <w:t xml:space="preserve"> UNDP</w:t>
      </w:r>
    </w:p>
    <w:p w:rsidR="00FE5FC7" w:rsidRPr="00211D01" w:rsidRDefault="00FE5FC7" w:rsidP="00384FFC">
      <w:pPr>
        <w:spacing w:after="0"/>
        <w:jc w:val="both"/>
        <w:rPr>
          <w:rFonts w:cstheme="minorHAnsi"/>
          <w:sz w:val="24"/>
          <w:szCs w:val="24"/>
        </w:rPr>
      </w:pPr>
      <w:r w:rsidRPr="00211D01">
        <w:rPr>
          <w:rFonts w:cstheme="minorHAnsi"/>
          <w:sz w:val="24"/>
          <w:szCs w:val="24"/>
        </w:rPr>
        <w:t xml:space="preserve">Baseline: </w:t>
      </w:r>
      <w:r w:rsidR="004F4764" w:rsidRPr="00211D01">
        <w:rPr>
          <w:rFonts w:cstheme="minorHAnsi"/>
          <w:i/>
          <w:sz w:val="24"/>
          <w:szCs w:val="24"/>
        </w:rPr>
        <w:t>as per C</w:t>
      </w:r>
      <w:r w:rsidRPr="00211D01">
        <w:rPr>
          <w:rFonts w:cstheme="minorHAnsi"/>
          <w:i/>
          <w:sz w:val="24"/>
          <w:szCs w:val="24"/>
        </w:rPr>
        <w:t>P</w:t>
      </w:r>
    </w:p>
    <w:p w:rsidR="00FE5FC7" w:rsidRPr="00211D01" w:rsidRDefault="00FE5FC7" w:rsidP="00384FFC">
      <w:pPr>
        <w:spacing w:after="0"/>
        <w:jc w:val="both"/>
        <w:rPr>
          <w:rFonts w:cstheme="minorHAnsi"/>
          <w:sz w:val="24"/>
          <w:szCs w:val="24"/>
        </w:rPr>
      </w:pPr>
      <w:r w:rsidRPr="00211D01">
        <w:rPr>
          <w:rFonts w:cstheme="minorHAnsi"/>
          <w:sz w:val="24"/>
          <w:szCs w:val="24"/>
        </w:rPr>
        <w:t xml:space="preserve">Indicator: </w:t>
      </w:r>
      <w:r w:rsidR="004F4764" w:rsidRPr="00211D01">
        <w:rPr>
          <w:rFonts w:cstheme="minorHAnsi"/>
          <w:i/>
          <w:sz w:val="24"/>
          <w:szCs w:val="24"/>
        </w:rPr>
        <w:t>as per C</w:t>
      </w:r>
      <w:r w:rsidRPr="00211D01">
        <w:rPr>
          <w:rFonts w:cstheme="minorHAnsi"/>
          <w:i/>
          <w:sz w:val="24"/>
          <w:szCs w:val="24"/>
        </w:rPr>
        <w:t>P</w:t>
      </w:r>
    </w:p>
    <w:p w:rsidR="00FE5FC7" w:rsidRPr="00211D01" w:rsidRDefault="00FE5FC7" w:rsidP="00384FFC">
      <w:pPr>
        <w:spacing w:after="0"/>
        <w:jc w:val="both"/>
        <w:rPr>
          <w:rFonts w:cstheme="minorHAnsi"/>
          <w:i/>
          <w:sz w:val="24"/>
          <w:szCs w:val="24"/>
        </w:rPr>
      </w:pPr>
      <w:r w:rsidRPr="00211D01">
        <w:rPr>
          <w:rFonts w:cstheme="minorHAnsi"/>
          <w:sz w:val="24"/>
          <w:szCs w:val="24"/>
        </w:rPr>
        <w:t xml:space="preserve">[YEAR] Target: </w:t>
      </w:r>
      <w:r w:rsidRPr="00211D01">
        <w:rPr>
          <w:rFonts w:cstheme="minorHAnsi"/>
          <w:i/>
          <w:sz w:val="24"/>
          <w:szCs w:val="24"/>
        </w:rPr>
        <w:t xml:space="preserve">as per </w:t>
      </w:r>
      <w:r w:rsidR="004F4764" w:rsidRPr="00211D01">
        <w:rPr>
          <w:rFonts w:cstheme="minorHAnsi"/>
          <w:i/>
          <w:sz w:val="24"/>
          <w:szCs w:val="24"/>
        </w:rPr>
        <w:t>Prodoc</w:t>
      </w:r>
    </w:p>
    <w:p w:rsidR="009337BF" w:rsidRPr="00211D01" w:rsidRDefault="009337BF" w:rsidP="00384FFC">
      <w:pPr>
        <w:spacing w:after="0"/>
        <w:jc w:val="both"/>
        <w:rPr>
          <w:rFonts w:cstheme="minorHAnsi"/>
          <w:sz w:val="24"/>
          <w:szCs w:val="24"/>
        </w:rPr>
      </w:pPr>
    </w:p>
    <w:p w:rsidR="0028691F" w:rsidRPr="00211D01" w:rsidRDefault="009337BF" w:rsidP="0028691F">
      <w:pPr>
        <w:spacing w:after="0"/>
        <w:jc w:val="both"/>
        <w:rPr>
          <w:rFonts w:cstheme="minorHAnsi"/>
          <w:i/>
          <w:sz w:val="24"/>
        </w:rPr>
      </w:pPr>
      <w:r w:rsidRPr="00211D01">
        <w:rPr>
          <w:rFonts w:cstheme="minorHAnsi"/>
          <w:sz w:val="24"/>
        </w:rPr>
        <w:lastRenderedPageBreak/>
        <w:t>[</w:t>
      </w:r>
      <w:r w:rsidR="00637674" w:rsidRPr="00211D01">
        <w:rPr>
          <w:rFonts w:cstheme="minorHAnsi"/>
          <w:sz w:val="24"/>
        </w:rPr>
        <w:t>2014</w:t>
      </w:r>
      <w:r w:rsidR="00FE5FC7" w:rsidRPr="00211D01">
        <w:rPr>
          <w:rFonts w:cstheme="minorHAnsi"/>
          <w:sz w:val="24"/>
        </w:rPr>
        <w:t xml:space="preserve">] Achievement: </w:t>
      </w:r>
      <w:r w:rsidR="00FE5FC7" w:rsidRPr="00211D01">
        <w:rPr>
          <w:rFonts w:cstheme="minorHAnsi"/>
          <w:i/>
          <w:sz w:val="24"/>
        </w:rPr>
        <w:t>Narrative</w:t>
      </w:r>
      <w:r w:rsidR="004F4764" w:rsidRPr="00211D01">
        <w:rPr>
          <w:rFonts w:cstheme="minorHAnsi"/>
          <w:i/>
          <w:sz w:val="24"/>
        </w:rPr>
        <w:t xml:space="preserve"> – please describe achievements at the output level, taking into account all activities</w:t>
      </w:r>
    </w:p>
    <w:p w:rsidR="00923AA5" w:rsidRPr="00211D01" w:rsidRDefault="00923AA5" w:rsidP="00333457">
      <w:pPr>
        <w:spacing w:after="0" w:line="240" w:lineRule="auto"/>
        <w:jc w:val="both"/>
        <w:rPr>
          <w:rFonts w:cstheme="minorHAnsi"/>
        </w:rPr>
      </w:pPr>
    </w:p>
    <w:p w:rsidR="0072226E" w:rsidRPr="00F8791A" w:rsidRDefault="00560311" w:rsidP="0072226E">
      <w:pPr>
        <w:spacing w:after="0" w:line="240" w:lineRule="auto"/>
        <w:jc w:val="both"/>
        <w:rPr>
          <w:sz w:val="20"/>
          <w:szCs w:val="20"/>
        </w:rPr>
      </w:pPr>
      <w:r w:rsidRPr="00F8791A">
        <w:rPr>
          <w:rFonts w:cstheme="minorHAnsi"/>
          <w:sz w:val="20"/>
          <w:szCs w:val="20"/>
        </w:rPr>
        <w:t>During the reporting period, t</w:t>
      </w:r>
      <w:r w:rsidR="00F8791A">
        <w:rPr>
          <w:rFonts w:cstheme="minorHAnsi"/>
          <w:sz w:val="20"/>
          <w:szCs w:val="20"/>
        </w:rPr>
        <w:t>he O</w:t>
      </w:r>
      <w:r w:rsidR="0072226E" w:rsidRPr="00F8791A">
        <w:rPr>
          <w:rFonts w:cstheme="minorHAnsi"/>
          <w:sz w:val="20"/>
          <w:szCs w:val="20"/>
        </w:rPr>
        <w:t>utp</w:t>
      </w:r>
      <w:r w:rsidRPr="00F8791A">
        <w:rPr>
          <w:rFonts w:cstheme="minorHAnsi"/>
          <w:sz w:val="20"/>
          <w:szCs w:val="20"/>
        </w:rPr>
        <w:t>ut conducted livelihoods and social cohesion assessment to</w:t>
      </w:r>
      <w:r w:rsidR="00437C92" w:rsidRPr="00F8791A">
        <w:rPr>
          <w:rFonts w:cstheme="minorHAnsi"/>
          <w:sz w:val="20"/>
          <w:szCs w:val="20"/>
        </w:rPr>
        <w:t xml:space="preserve"> measure</w:t>
      </w:r>
      <w:r w:rsidR="0072226E" w:rsidRPr="00F8791A">
        <w:rPr>
          <w:rFonts w:cstheme="minorHAnsi"/>
          <w:sz w:val="20"/>
          <w:szCs w:val="20"/>
        </w:rPr>
        <w:t xml:space="preserve"> output results one year after project interventions, completing</w:t>
      </w:r>
      <w:r w:rsidRPr="00F8791A">
        <w:rPr>
          <w:rFonts w:cstheme="minorHAnsi"/>
          <w:sz w:val="20"/>
          <w:szCs w:val="20"/>
        </w:rPr>
        <w:t xml:space="preserve"> random sampling of 40% in target</w:t>
      </w:r>
      <w:r w:rsidR="0072226E" w:rsidRPr="00F8791A">
        <w:rPr>
          <w:rFonts w:cstheme="minorHAnsi"/>
          <w:sz w:val="20"/>
          <w:szCs w:val="20"/>
        </w:rPr>
        <w:t xml:space="preserve"> village</w:t>
      </w:r>
      <w:r w:rsidRPr="00F8791A">
        <w:rPr>
          <w:rFonts w:cstheme="minorHAnsi"/>
          <w:sz w:val="20"/>
          <w:szCs w:val="20"/>
        </w:rPr>
        <w:t>s</w:t>
      </w:r>
      <w:r w:rsidR="00302962" w:rsidRPr="00F8791A">
        <w:rPr>
          <w:rFonts w:cstheme="minorHAnsi"/>
          <w:sz w:val="20"/>
          <w:szCs w:val="20"/>
        </w:rPr>
        <w:t xml:space="preserve"> in Shan, Mon, Kayin, Kayah, </w:t>
      </w:r>
      <w:r w:rsidR="0072226E" w:rsidRPr="00F8791A">
        <w:rPr>
          <w:rFonts w:cstheme="minorHAnsi"/>
          <w:sz w:val="20"/>
          <w:szCs w:val="20"/>
        </w:rPr>
        <w:t>Chin and Kachin</w:t>
      </w:r>
      <w:r w:rsidRPr="00F8791A">
        <w:rPr>
          <w:rFonts w:cstheme="minorHAnsi"/>
          <w:sz w:val="20"/>
          <w:szCs w:val="20"/>
        </w:rPr>
        <w:t xml:space="preserve"> states.</w:t>
      </w:r>
    </w:p>
    <w:p w:rsidR="0072226E" w:rsidRPr="00F8791A" w:rsidRDefault="0072226E" w:rsidP="0072226E">
      <w:pPr>
        <w:spacing w:after="0" w:line="240" w:lineRule="auto"/>
        <w:jc w:val="both"/>
        <w:rPr>
          <w:sz w:val="20"/>
          <w:szCs w:val="20"/>
        </w:rPr>
      </w:pPr>
    </w:p>
    <w:p w:rsidR="0072226E" w:rsidRPr="00F8791A" w:rsidRDefault="00B91B5F" w:rsidP="0072226E">
      <w:pPr>
        <w:spacing w:after="0" w:line="240" w:lineRule="auto"/>
        <w:jc w:val="both"/>
        <w:rPr>
          <w:sz w:val="20"/>
          <w:szCs w:val="20"/>
        </w:rPr>
      </w:pPr>
      <w:r w:rsidRPr="00F8791A">
        <w:rPr>
          <w:sz w:val="20"/>
          <w:szCs w:val="20"/>
        </w:rPr>
        <w:t xml:space="preserve">The </w:t>
      </w:r>
      <w:r w:rsidR="00F8791A">
        <w:rPr>
          <w:sz w:val="20"/>
          <w:szCs w:val="20"/>
        </w:rPr>
        <w:t>Output</w:t>
      </w:r>
      <w:r w:rsidRPr="00F8791A">
        <w:rPr>
          <w:sz w:val="20"/>
          <w:szCs w:val="20"/>
        </w:rPr>
        <w:t xml:space="preserve"> </w:t>
      </w:r>
      <w:r w:rsidR="00F8791A">
        <w:rPr>
          <w:sz w:val="20"/>
          <w:szCs w:val="20"/>
        </w:rPr>
        <w:t>commenced construction activities on Y</w:t>
      </w:r>
      <w:r w:rsidR="0072226E" w:rsidRPr="00F8791A">
        <w:rPr>
          <w:sz w:val="20"/>
          <w:szCs w:val="20"/>
        </w:rPr>
        <w:t xml:space="preserve">e Chan Pyin Bridge in in Rakhine State </w:t>
      </w:r>
      <w:r w:rsidR="00F8791A">
        <w:rPr>
          <w:sz w:val="20"/>
          <w:szCs w:val="20"/>
        </w:rPr>
        <w:t xml:space="preserve">outreaching </w:t>
      </w:r>
      <w:r w:rsidR="0072226E" w:rsidRPr="00F8791A">
        <w:rPr>
          <w:sz w:val="20"/>
          <w:szCs w:val="20"/>
        </w:rPr>
        <w:t xml:space="preserve">accessing </w:t>
      </w:r>
      <w:r w:rsidR="00AF3207" w:rsidRPr="00F8791A">
        <w:rPr>
          <w:sz w:val="20"/>
          <w:szCs w:val="20"/>
        </w:rPr>
        <w:t xml:space="preserve">1643 people of </w:t>
      </w:r>
      <w:r w:rsidR="00CA0ADE" w:rsidRPr="00F8791A">
        <w:rPr>
          <w:sz w:val="20"/>
          <w:szCs w:val="20"/>
        </w:rPr>
        <w:t>392</w:t>
      </w:r>
      <w:r w:rsidR="0072226E" w:rsidRPr="00F8791A">
        <w:rPr>
          <w:sz w:val="20"/>
          <w:szCs w:val="20"/>
        </w:rPr>
        <w:t xml:space="preserve"> households.</w:t>
      </w:r>
      <w:r w:rsidR="00775F96" w:rsidRPr="00F8791A">
        <w:rPr>
          <w:sz w:val="20"/>
          <w:szCs w:val="20"/>
        </w:rPr>
        <w:t xml:space="preserve"> </w:t>
      </w:r>
    </w:p>
    <w:p w:rsidR="0072226E" w:rsidRPr="00F8791A" w:rsidRDefault="0072226E" w:rsidP="0072226E">
      <w:pPr>
        <w:spacing w:after="0" w:line="240" w:lineRule="auto"/>
        <w:jc w:val="both"/>
        <w:rPr>
          <w:sz w:val="20"/>
          <w:szCs w:val="20"/>
        </w:rPr>
      </w:pPr>
    </w:p>
    <w:p w:rsidR="0072226E" w:rsidRPr="00F8791A" w:rsidRDefault="0072226E" w:rsidP="0072226E">
      <w:pPr>
        <w:spacing w:after="0" w:line="240" w:lineRule="auto"/>
        <w:jc w:val="both"/>
        <w:rPr>
          <w:sz w:val="20"/>
          <w:szCs w:val="20"/>
        </w:rPr>
      </w:pPr>
      <w:r w:rsidRPr="00F8791A">
        <w:rPr>
          <w:sz w:val="20"/>
          <w:szCs w:val="20"/>
        </w:rPr>
        <w:t xml:space="preserve">During the reporting period, the </w:t>
      </w:r>
      <w:r w:rsidR="00F8791A">
        <w:rPr>
          <w:sz w:val="20"/>
          <w:szCs w:val="20"/>
        </w:rPr>
        <w:t>Output</w:t>
      </w:r>
      <w:r w:rsidRPr="00F8791A">
        <w:rPr>
          <w:sz w:val="20"/>
          <w:szCs w:val="20"/>
        </w:rPr>
        <w:t xml:space="preserve"> provided livelihood skills training on sewing, motorcycle repairing, food processing, handicrafts, carpentry at the 04 States from 14 </w:t>
      </w:r>
      <w:r w:rsidRPr="00F8791A">
        <w:rPr>
          <w:sz w:val="20"/>
          <w:szCs w:val="20"/>
        </w:rPr>
        <w:lastRenderedPageBreak/>
        <w:t xml:space="preserve">target project townships of </w:t>
      </w:r>
      <w:r w:rsidR="00A34CA3" w:rsidRPr="00F8791A">
        <w:rPr>
          <w:sz w:val="20"/>
          <w:szCs w:val="20"/>
        </w:rPr>
        <w:t>179 target villages</w:t>
      </w:r>
      <w:r w:rsidR="004E6962" w:rsidRPr="00F8791A">
        <w:rPr>
          <w:sz w:val="20"/>
          <w:szCs w:val="20"/>
        </w:rPr>
        <w:t xml:space="preserve"> </w:t>
      </w:r>
      <w:r w:rsidR="00A34CA3" w:rsidRPr="00F8791A">
        <w:rPr>
          <w:sz w:val="20"/>
          <w:szCs w:val="20"/>
        </w:rPr>
        <w:t xml:space="preserve">reaching 464 beneficiaries </w:t>
      </w:r>
      <w:r w:rsidR="00F8791A">
        <w:rPr>
          <w:sz w:val="20"/>
          <w:szCs w:val="20"/>
        </w:rPr>
        <w:t xml:space="preserve">of </w:t>
      </w:r>
      <w:r w:rsidR="00A34CA3" w:rsidRPr="00F8791A">
        <w:rPr>
          <w:sz w:val="20"/>
          <w:szCs w:val="20"/>
        </w:rPr>
        <w:t xml:space="preserve">which 234 (50.6%) </w:t>
      </w:r>
      <w:r w:rsidR="00F8791A">
        <w:rPr>
          <w:sz w:val="20"/>
          <w:szCs w:val="20"/>
        </w:rPr>
        <w:t xml:space="preserve">were men and </w:t>
      </w:r>
      <w:r w:rsidR="00A34CA3" w:rsidRPr="00F8791A">
        <w:rPr>
          <w:sz w:val="20"/>
          <w:szCs w:val="20"/>
        </w:rPr>
        <w:t>230</w:t>
      </w:r>
      <w:r w:rsidRPr="00F8791A">
        <w:rPr>
          <w:sz w:val="20"/>
          <w:szCs w:val="20"/>
        </w:rPr>
        <w:t xml:space="preserve"> (49.4%)</w:t>
      </w:r>
      <w:r w:rsidR="00F8791A">
        <w:rPr>
          <w:sz w:val="20"/>
          <w:szCs w:val="20"/>
        </w:rPr>
        <w:t xml:space="preserve"> were women</w:t>
      </w:r>
      <w:r w:rsidRPr="00F8791A">
        <w:rPr>
          <w:sz w:val="20"/>
          <w:szCs w:val="20"/>
        </w:rPr>
        <w:t xml:space="preserve">. </w:t>
      </w:r>
    </w:p>
    <w:p w:rsidR="0072226E" w:rsidRPr="00F8791A" w:rsidRDefault="0072226E" w:rsidP="0072226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2226E" w:rsidRPr="00F8791A" w:rsidRDefault="0072226E" w:rsidP="0072226E">
      <w:pPr>
        <w:spacing w:after="0" w:line="240" w:lineRule="auto"/>
        <w:jc w:val="both"/>
        <w:rPr>
          <w:sz w:val="20"/>
          <w:szCs w:val="20"/>
        </w:rPr>
      </w:pPr>
      <w:r w:rsidRPr="00F8791A">
        <w:rPr>
          <w:sz w:val="20"/>
          <w:szCs w:val="20"/>
        </w:rPr>
        <w:t xml:space="preserve">The </w:t>
      </w:r>
      <w:r w:rsidR="00F8791A">
        <w:rPr>
          <w:sz w:val="20"/>
          <w:szCs w:val="20"/>
        </w:rPr>
        <w:t>O</w:t>
      </w:r>
      <w:r w:rsidRPr="00F8791A">
        <w:rPr>
          <w:sz w:val="20"/>
          <w:szCs w:val="20"/>
        </w:rPr>
        <w:t>utput completed in-country assessment to support for women’s leadership and participation in social cohesion and peacebuilding through South-South and Triangular Cooperation in Mon and K</w:t>
      </w:r>
      <w:r w:rsidR="00F8791A">
        <w:rPr>
          <w:sz w:val="20"/>
          <w:szCs w:val="20"/>
        </w:rPr>
        <w:t>a</w:t>
      </w:r>
      <w:r w:rsidRPr="00F8791A">
        <w:rPr>
          <w:sz w:val="20"/>
          <w:szCs w:val="20"/>
        </w:rPr>
        <w:t xml:space="preserve">yin States.  </w:t>
      </w:r>
    </w:p>
    <w:p w:rsidR="0072226E" w:rsidRPr="00F8791A" w:rsidRDefault="0072226E" w:rsidP="0072226E">
      <w:pPr>
        <w:spacing w:after="0" w:line="240" w:lineRule="auto"/>
        <w:jc w:val="both"/>
        <w:rPr>
          <w:sz w:val="20"/>
          <w:szCs w:val="20"/>
        </w:rPr>
      </w:pPr>
    </w:p>
    <w:p w:rsidR="0072226E" w:rsidRPr="00F8791A" w:rsidRDefault="0072226E" w:rsidP="0072226E">
      <w:pPr>
        <w:spacing w:after="0" w:line="240" w:lineRule="auto"/>
        <w:jc w:val="both"/>
        <w:rPr>
          <w:sz w:val="20"/>
          <w:szCs w:val="20"/>
        </w:rPr>
      </w:pPr>
      <w:r w:rsidRPr="00F8791A">
        <w:rPr>
          <w:sz w:val="20"/>
          <w:szCs w:val="20"/>
        </w:rPr>
        <w:t xml:space="preserve">The </w:t>
      </w:r>
      <w:r w:rsidR="00F8791A">
        <w:rPr>
          <w:sz w:val="20"/>
          <w:szCs w:val="20"/>
        </w:rPr>
        <w:t>O</w:t>
      </w:r>
      <w:r w:rsidRPr="00F8791A">
        <w:rPr>
          <w:sz w:val="20"/>
          <w:szCs w:val="20"/>
        </w:rPr>
        <w:t>utput provided training on Social Cohesion Competencies in Practice in Shan and Kachin State</w:t>
      </w:r>
      <w:r w:rsidR="00F8791A">
        <w:rPr>
          <w:sz w:val="20"/>
          <w:szCs w:val="20"/>
        </w:rPr>
        <w:t xml:space="preserve">s reaching 76 participants </w:t>
      </w:r>
      <w:r w:rsidRPr="00F8791A">
        <w:rPr>
          <w:sz w:val="20"/>
          <w:szCs w:val="20"/>
        </w:rPr>
        <w:t>from Gover</w:t>
      </w:r>
      <w:r w:rsidR="00227034" w:rsidRPr="00F8791A">
        <w:rPr>
          <w:sz w:val="20"/>
          <w:szCs w:val="20"/>
        </w:rPr>
        <w:t xml:space="preserve">nment Departments, NSAs, CSOs). The </w:t>
      </w:r>
      <w:r w:rsidR="00F8791A">
        <w:rPr>
          <w:sz w:val="20"/>
          <w:szCs w:val="20"/>
        </w:rPr>
        <w:t>Output also</w:t>
      </w:r>
      <w:r w:rsidR="00227034" w:rsidRPr="00F8791A">
        <w:rPr>
          <w:sz w:val="20"/>
          <w:szCs w:val="20"/>
        </w:rPr>
        <w:t xml:space="preserve"> supported training </w:t>
      </w:r>
      <w:r w:rsidRPr="00F8791A">
        <w:rPr>
          <w:sz w:val="20"/>
          <w:szCs w:val="20"/>
        </w:rPr>
        <w:t xml:space="preserve">on strengthening dialogue platforms and capacities for officials from General Administration Department, </w:t>
      </w:r>
      <w:r w:rsidR="00F8791A">
        <w:rPr>
          <w:sz w:val="20"/>
          <w:szCs w:val="20"/>
        </w:rPr>
        <w:t>Myanmar Police Force</w:t>
      </w:r>
      <w:r w:rsidRPr="00F8791A">
        <w:rPr>
          <w:sz w:val="20"/>
          <w:szCs w:val="20"/>
        </w:rPr>
        <w:t xml:space="preserve"> </w:t>
      </w:r>
      <w:r w:rsidR="00F8791A">
        <w:rPr>
          <w:sz w:val="20"/>
          <w:szCs w:val="20"/>
        </w:rPr>
        <w:t>and</w:t>
      </w:r>
      <w:r w:rsidRPr="00F8791A">
        <w:rPr>
          <w:sz w:val="20"/>
          <w:szCs w:val="20"/>
        </w:rPr>
        <w:t xml:space="preserve"> Ministry of Boarder Affairs reaching 60 participants in Naypyitaw and Shan state. </w:t>
      </w:r>
    </w:p>
    <w:p w:rsidR="00FA6F79" w:rsidRPr="00F8791A" w:rsidRDefault="00FA6F79" w:rsidP="0072226E">
      <w:pPr>
        <w:spacing w:after="0" w:line="240" w:lineRule="auto"/>
        <w:jc w:val="both"/>
        <w:rPr>
          <w:rFonts w:cstheme="minorHAnsi"/>
          <w:color w:val="4F81BD" w:themeColor="accent1"/>
          <w:sz w:val="20"/>
          <w:szCs w:val="20"/>
        </w:rPr>
      </w:pPr>
    </w:p>
    <w:p w:rsidR="00193904" w:rsidRPr="00F8791A" w:rsidRDefault="0072226E" w:rsidP="00AB72F9">
      <w:pPr>
        <w:spacing w:after="0" w:line="240" w:lineRule="auto"/>
        <w:jc w:val="both"/>
        <w:rPr>
          <w:sz w:val="20"/>
          <w:szCs w:val="20"/>
        </w:rPr>
      </w:pPr>
      <w:r w:rsidRPr="00F8791A">
        <w:rPr>
          <w:sz w:val="20"/>
          <w:szCs w:val="20"/>
        </w:rPr>
        <w:lastRenderedPageBreak/>
        <w:t xml:space="preserve">Early recovery coordination meetings were held between UNDP and RSG though MoDA to strengthen ER sector as a platform for interagency partnership. </w:t>
      </w:r>
    </w:p>
    <w:p w:rsidR="008D5CCF" w:rsidRDefault="008D5CCF" w:rsidP="00333457">
      <w:pPr>
        <w:spacing w:after="0"/>
        <w:jc w:val="both"/>
        <w:rPr>
          <w:rFonts w:ascii="Calibri" w:hAnsi="Calibri"/>
        </w:rPr>
      </w:pPr>
    </w:p>
    <w:p w:rsidR="00D72E3C" w:rsidRPr="00211D01" w:rsidRDefault="005D1F87" w:rsidP="00333457">
      <w:pPr>
        <w:spacing w:after="0"/>
        <w:jc w:val="both"/>
        <w:rPr>
          <w:rFonts w:cstheme="minorHAnsi"/>
          <w:i/>
          <w:sz w:val="24"/>
        </w:rPr>
      </w:pPr>
      <w:r w:rsidRPr="008D5CCF">
        <w:rPr>
          <w:rFonts w:ascii="Calibri" w:hAnsi="Calibri"/>
        </w:rPr>
        <w:t>How has the gender dimension been addressed: Please describe</w:t>
      </w:r>
      <w:r w:rsidRPr="00211D01">
        <w:rPr>
          <w:rFonts w:cstheme="minorHAnsi"/>
          <w:i/>
          <w:sz w:val="24"/>
        </w:rPr>
        <w:t xml:space="preserve"> specific results achieved in the area of gender mainstreaming (if any) with a brief narrative</w:t>
      </w:r>
    </w:p>
    <w:p w:rsidR="001E5317" w:rsidRPr="00211D01" w:rsidRDefault="001E5317" w:rsidP="00333457">
      <w:pPr>
        <w:spacing w:after="0"/>
        <w:jc w:val="both"/>
        <w:rPr>
          <w:rFonts w:cstheme="minorHAnsi"/>
          <w:i/>
          <w:sz w:val="24"/>
        </w:rPr>
      </w:pPr>
    </w:p>
    <w:p w:rsidR="009C7EC9" w:rsidRPr="009C7EC9" w:rsidRDefault="00F8791A" w:rsidP="009C7EC9">
      <w:pPr>
        <w:spacing w:after="0" w:line="240" w:lineRule="auto"/>
        <w:jc w:val="both"/>
        <w:rPr>
          <w:sz w:val="20"/>
          <w:szCs w:val="20"/>
        </w:rPr>
      </w:pPr>
      <w:r w:rsidRPr="009C7EC9">
        <w:rPr>
          <w:rFonts w:cstheme="minorHAnsi"/>
          <w:sz w:val="20"/>
          <w:szCs w:val="20"/>
        </w:rPr>
        <w:t>C</w:t>
      </w:r>
      <w:r w:rsidR="00AB72F9" w:rsidRPr="009C7EC9">
        <w:rPr>
          <w:rFonts w:cstheme="minorHAnsi"/>
          <w:sz w:val="20"/>
          <w:szCs w:val="20"/>
        </w:rPr>
        <w:t>onstruction</w:t>
      </w:r>
      <w:r w:rsidRPr="009C7EC9">
        <w:rPr>
          <w:rFonts w:cstheme="minorHAnsi"/>
          <w:sz w:val="20"/>
          <w:szCs w:val="20"/>
        </w:rPr>
        <w:t xml:space="preserve"> of Ye Chan Pyin bridge</w:t>
      </w:r>
      <w:r w:rsidR="00AB72F9" w:rsidRPr="009C7EC9">
        <w:rPr>
          <w:rFonts w:cstheme="minorHAnsi"/>
          <w:sz w:val="20"/>
          <w:szCs w:val="20"/>
        </w:rPr>
        <w:t xml:space="preserve"> supported under the Output, </w:t>
      </w:r>
      <w:r w:rsidRPr="009C7EC9">
        <w:rPr>
          <w:rFonts w:cstheme="minorHAnsi"/>
          <w:sz w:val="20"/>
          <w:szCs w:val="20"/>
        </w:rPr>
        <w:t xml:space="preserve">provided </w:t>
      </w:r>
      <w:r w:rsidR="00AB72F9" w:rsidRPr="009C7EC9">
        <w:rPr>
          <w:rFonts w:cstheme="minorHAnsi"/>
          <w:sz w:val="20"/>
          <w:szCs w:val="20"/>
        </w:rPr>
        <w:t xml:space="preserve">cash for work </w:t>
      </w:r>
      <w:r w:rsidRPr="009C7EC9">
        <w:rPr>
          <w:rFonts w:cstheme="minorHAnsi"/>
          <w:sz w:val="20"/>
          <w:szCs w:val="20"/>
        </w:rPr>
        <w:t>activities</w:t>
      </w:r>
      <w:r w:rsidR="00AB72F9" w:rsidRPr="009C7EC9">
        <w:rPr>
          <w:rFonts w:cstheme="minorHAnsi"/>
          <w:sz w:val="20"/>
          <w:szCs w:val="20"/>
        </w:rPr>
        <w:t xml:space="preserve"> benefitting </w:t>
      </w:r>
      <w:r w:rsidRPr="009C7EC9">
        <w:rPr>
          <w:rFonts w:cstheme="minorHAnsi"/>
          <w:sz w:val="20"/>
          <w:szCs w:val="20"/>
        </w:rPr>
        <w:t xml:space="preserve">392 HHs </w:t>
      </w:r>
      <w:r w:rsidR="00AB72F9" w:rsidRPr="009C7EC9">
        <w:rPr>
          <w:rFonts w:cstheme="minorHAnsi"/>
          <w:sz w:val="20"/>
          <w:szCs w:val="20"/>
        </w:rPr>
        <w:t xml:space="preserve">of which 840 are women (51.1%). </w:t>
      </w:r>
      <w:r w:rsidR="003806E1" w:rsidRPr="009C7EC9">
        <w:rPr>
          <w:rFonts w:cs="Times New Roman"/>
          <w:sz w:val="20"/>
          <w:szCs w:val="20"/>
        </w:rPr>
        <w:t>The livelihood and vocational training skills act</w:t>
      </w:r>
      <w:r w:rsidR="00AB72F9" w:rsidRPr="009C7EC9">
        <w:rPr>
          <w:rFonts w:cs="Times New Roman"/>
          <w:sz w:val="20"/>
          <w:szCs w:val="20"/>
        </w:rPr>
        <w:t>i</w:t>
      </w:r>
      <w:r w:rsidR="00A339A5" w:rsidRPr="009C7EC9">
        <w:rPr>
          <w:rFonts w:cs="Times New Roman"/>
          <w:sz w:val="20"/>
          <w:szCs w:val="20"/>
        </w:rPr>
        <w:t xml:space="preserve">vities during the </w:t>
      </w:r>
      <w:r w:rsidR="00AD17E7" w:rsidRPr="009C7EC9">
        <w:rPr>
          <w:rFonts w:cs="Times New Roman"/>
          <w:sz w:val="20"/>
          <w:szCs w:val="20"/>
        </w:rPr>
        <w:t xml:space="preserve">reporting </w:t>
      </w:r>
      <w:r w:rsidR="00A339A5" w:rsidRPr="009C7EC9">
        <w:rPr>
          <w:rFonts w:cs="Times New Roman"/>
          <w:sz w:val="20"/>
          <w:szCs w:val="20"/>
        </w:rPr>
        <w:t>period</w:t>
      </w:r>
      <w:r w:rsidR="00AB72F9" w:rsidRPr="009C7EC9">
        <w:rPr>
          <w:rFonts w:cs="Times New Roman"/>
          <w:sz w:val="20"/>
          <w:szCs w:val="20"/>
        </w:rPr>
        <w:t xml:space="preserve"> have reached 464</w:t>
      </w:r>
      <w:r w:rsidR="003806E1" w:rsidRPr="009C7EC9">
        <w:rPr>
          <w:rFonts w:cs="Times New Roman"/>
          <w:sz w:val="20"/>
          <w:szCs w:val="20"/>
        </w:rPr>
        <w:t xml:space="preserve"> beneficiaries of which 49</w:t>
      </w:r>
      <w:r w:rsidR="008274D1" w:rsidRPr="009C7EC9">
        <w:rPr>
          <w:rFonts w:cs="Times New Roman"/>
          <w:sz w:val="20"/>
          <w:szCs w:val="20"/>
        </w:rPr>
        <w:t>.5</w:t>
      </w:r>
      <w:r w:rsidR="003806E1" w:rsidRPr="009C7EC9">
        <w:rPr>
          <w:rFonts w:cs="Times New Roman"/>
          <w:sz w:val="20"/>
          <w:szCs w:val="20"/>
        </w:rPr>
        <w:t>% are women.</w:t>
      </w:r>
      <w:r w:rsidR="009C7EC9" w:rsidRPr="009C7EC9">
        <w:rPr>
          <w:rFonts w:cs="Times New Roman"/>
          <w:sz w:val="20"/>
          <w:szCs w:val="20"/>
        </w:rPr>
        <w:t xml:space="preserve"> </w:t>
      </w:r>
      <w:r w:rsidR="009C7EC9" w:rsidRPr="009C7EC9">
        <w:rPr>
          <w:sz w:val="20"/>
          <w:szCs w:val="20"/>
        </w:rPr>
        <w:t>The O</w:t>
      </w:r>
      <w:r w:rsidR="002D2E4A" w:rsidRPr="009C7EC9">
        <w:rPr>
          <w:sz w:val="20"/>
          <w:szCs w:val="20"/>
        </w:rPr>
        <w:t xml:space="preserve">utput provided training on Social Cohesion Competencies in Practice in Shan and Kachin States reaching 76 participants of whom 32.9% are </w:t>
      </w:r>
      <w:r w:rsidR="002D2E4A" w:rsidRPr="009C7EC9">
        <w:rPr>
          <w:sz w:val="20"/>
          <w:szCs w:val="20"/>
        </w:rPr>
        <w:lastRenderedPageBreak/>
        <w:t xml:space="preserve">women. </w:t>
      </w:r>
      <w:r w:rsidR="009C7EC9" w:rsidRPr="009C7EC9">
        <w:rPr>
          <w:sz w:val="20"/>
          <w:szCs w:val="20"/>
        </w:rPr>
        <w:t xml:space="preserve">The Output completed in-country assessment to support for women’s leadership and participation in social cohesion and peacebuilding through South-South and Triangular Cooperation in Mon and Kayin States.  </w:t>
      </w:r>
    </w:p>
    <w:p w:rsidR="00FA6F79" w:rsidRDefault="00FA6F79" w:rsidP="00EA3FC2">
      <w:pPr>
        <w:spacing w:after="0"/>
        <w:jc w:val="both"/>
        <w:rPr>
          <w:rFonts w:cstheme="minorHAnsi"/>
          <w:b/>
          <w:sz w:val="24"/>
          <w:u w:val="single"/>
        </w:rPr>
      </w:pPr>
    </w:p>
    <w:p w:rsidR="00FA6F79" w:rsidRDefault="00FA6F79" w:rsidP="00EA3FC2">
      <w:pPr>
        <w:spacing w:after="0"/>
        <w:jc w:val="both"/>
        <w:rPr>
          <w:rFonts w:cstheme="minorHAnsi"/>
          <w:b/>
          <w:sz w:val="24"/>
          <w:u w:val="single"/>
        </w:rPr>
      </w:pPr>
    </w:p>
    <w:p w:rsidR="00087913" w:rsidRDefault="00087913" w:rsidP="00EA3FC2">
      <w:pPr>
        <w:spacing w:after="0"/>
        <w:jc w:val="both"/>
        <w:rPr>
          <w:rFonts w:cstheme="minorHAnsi"/>
          <w:b/>
          <w:sz w:val="24"/>
          <w:u w:val="single"/>
        </w:rPr>
      </w:pPr>
    </w:p>
    <w:p w:rsidR="00EA3FC2" w:rsidRPr="00211D01" w:rsidRDefault="00EA3FC2" w:rsidP="00EA3FC2">
      <w:pPr>
        <w:spacing w:after="0"/>
        <w:jc w:val="both"/>
        <w:rPr>
          <w:rFonts w:cstheme="minorHAnsi"/>
          <w:i/>
          <w:sz w:val="24"/>
        </w:rPr>
      </w:pPr>
      <w:r w:rsidRPr="00211D01">
        <w:rPr>
          <w:rFonts w:cstheme="minorHAnsi"/>
          <w:b/>
          <w:sz w:val="24"/>
          <w:u w:val="single"/>
        </w:rPr>
        <w:t xml:space="preserve">2. Activity Performance: </w:t>
      </w:r>
    </w:p>
    <w:p w:rsidR="00CE4679" w:rsidRPr="00211D01" w:rsidRDefault="005947B8" w:rsidP="00EA3FC2">
      <w:pPr>
        <w:spacing w:after="0"/>
        <w:jc w:val="both"/>
        <w:rPr>
          <w:rFonts w:ascii="Calibri" w:hAnsi="Calibri" w:cs="Calibri"/>
        </w:rPr>
      </w:pPr>
      <w:r w:rsidRPr="00211D01">
        <w:rPr>
          <w:rFonts w:cstheme="minorHAnsi"/>
          <w:sz w:val="24"/>
        </w:rPr>
        <w:t>Activity ID</w:t>
      </w:r>
      <w:r w:rsidRPr="00211D01">
        <w:rPr>
          <w:rFonts w:cstheme="minorHAnsi"/>
        </w:rPr>
        <w:t>:</w:t>
      </w:r>
      <w:r w:rsidR="00DD592A" w:rsidRPr="00211D01">
        <w:rPr>
          <w:rFonts w:ascii="Calibri" w:hAnsi="Calibri" w:cs="Calibri"/>
        </w:rPr>
        <w:t xml:space="preserve"> </w:t>
      </w:r>
      <w:r w:rsidR="00CE4679" w:rsidRPr="00211D01">
        <w:rPr>
          <w:rFonts w:ascii="Calibri" w:hAnsi="Calibri" w:cs="Calibri"/>
        </w:rPr>
        <w:t xml:space="preserve">1.1 HHs Poverty Assessment </w:t>
      </w:r>
    </w:p>
    <w:p w:rsidR="005947B8" w:rsidRPr="00211D01" w:rsidRDefault="005947B8" w:rsidP="00EA3FC2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>Start date:</w:t>
      </w:r>
      <w:r w:rsidR="00DD592A" w:rsidRPr="00211D01">
        <w:rPr>
          <w:rFonts w:cstheme="minorHAnsi"/>
          <w:sz w:val="24"/>
        </w:rPr>
        <w:t xml:space="preserve"> April 2013</w:t>
      </w:r>
    </w:p>
    <w:p w:rsidR="005947B8" w:rsidRPr="00211D01" w:rsidRDefault="005947B8" w:rsidP="00EA3FC2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>End date:</w:t>
      </w:r>
      <w:r w:rsidR="00DD592A" w:rsidRPr="00211D01">
        <w:rPr>
          <w:rFonts w:cstheme="minorHAnsi"/>
          <w:sz w:val="24"/>
        </w:rPr>
        <w:t xml:space="preserve"> December 2014 </w:t>
      </w:r>
    </w:p>
    <w:p w:rsidR="005947B8" w:rsidRPr="00211D01" w:rsidRDefault="005947B8" w:rsidP="00EA3FC2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lastRenderedPageBreak/>
        <w:t>Purpose:</w:t>
      </w:r>
      <w:r w:rsidR="00DD592A" w:rsidRPr="00211D01">
        <w:rPr>
          <w:rFonts w:cstheme="minorHAnsi"/>
          <w:sz w:val="24"/>
        </w:rPr>
        <w:t xml:space="preserve"> To provide poor households with social protection assistance to reduce vulnerability</w:t>
      </w:r>
    </w:p>
    <w:p w:rsidR="005947B8" w:rsidRPr="00211D01" w:rsidRDefault="005947B8" w:rsidP="00EA3FC2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>Description:</w:t>
      </w:r>
      <w:r w:rsidR="004F4764" w:rsidRPr="00211D01">
        <w:rPr>
          <w:rFonts w:cstheme="minorHAnsi"/>
          <w:sz w:val="24"/>
        </w:rPr>
        <w:t xml:space="preserve"> </w:t>
      </w:r>
    </w:p>
    <w:p w:rsidR="00DD592A" w:rsidRPr="00211D01" w:rsidRDefault="00CE4679" w:rsidP="00BB5C54">
      <w:pPr>
        <w:spacing w:after="60" w:line="240" w:lineRule="auto"/>
        <w:jc w:val="both"/>
        <w:rPr>
          <w:rFonts w:ascii="Calibri" w:hAnsi="Calibri"/>
          <w:bCs/>
        </w:rPr>
      </w:pPr>
      <w:r w:rsidRPr="00211D01">
        <w:rPr>
          <w:rFonts w:ascii="Calibri" w:hAnsi="Calibri"/>
          <w:bCs/>
          <w:sz w:val="24"/>
          <w:szCs w:val="24"/>
        </w:rPr>
        <w:t xml:space="preserve">Identify poor households at community level in target locations; </w:t>
      </w:r>
      <w:r w:rsidRPr="00211D01">
        <w:rPr>
          <w:rFonts w:cs="Arial"/>
          <w:sz w:val="24"/>
          <w:szCs w:val="24"/>
        </w:rPr>
        <w:t>Train staff and partners on poverty score-card</w:t>
      </w:r>
      <w:r w:rsidRPr="00211D01">
        <w:rPr>
          <w:rFonts w:ascii="Calibri" w:hAnsi="Calibri"/>
          <w:bCs/>
          <w:sz w:val="24"/>
          <w:szCs w:val="24"/>
        </w:rPr>
        <w:t xml:space="preserve">; </w:t>
      </w:r>
      <w:r w:rsidRPr="00211D01">
        <w:rPr>
          <w:rFonts w:cs="Arial"/>
          <w:sz w:val="24"/>
          <w:szCs w:val="24"/>
        </w:rPr>
        <w:t>Conduct poverty score-card assessments in target locations</w:t>
      </w:r>
      <w:r w:rsidRPr="00211D01">
        <w:rPr>
          <w:rFonts w:ascii="Calibri" w:hAnsi="Calibri"/>
          <w:bCs/>
          <w:sz w:val="24"/>
          <w:szCs w:val="24"/>
        </w:rPr>
        <w:t>;</w:t>
      </w:r>
    </w:p>
    <w:p w:rsidR="00DD592A" w:rsidRPr="00211D01" w:rsidRDefault="00DD592A" w:rsidP="00EA3FC2">
      <w:pPr>
        <w:spacing w:after="0"/>
        <w:jc w:val="both"/>
        <w:rPr>
          <w:rFonts w:cstheme="minorHAnsi"/>
          <w:i/>
          <w:sz w:val="24"/>
        </w:rPr>
      </w:pPr>
    </w:p>
    <w:p w:rsidR="005947B8" w:rsidRPr="00211D01" w:rsidRDefault="005947B8" w:rsidP="00EA3FC2">
      <w:pPr>
        <w:spacing w:after="0"/>
        <w:jc w:val="both"/>
        <w:rPr>
          <w:rFonts w:cstheme="minorHAnsi"/>
          <w:sz w:val="24"/>
        </w:rPr>
      </w:pPr>
    </w:p>
    <w:p w:rsidR="003C0E1F" w:rsidRPr="00211D01" w:rsidRDefault="003C0E1F" w:rsidP="00EA3FC2">
      <w:pPr>
        <w:spacing w:after="0"/>
        <w:jc w:val="both"/>
        <w:rPr>
          <w:rFonts w:cstheme="minorHAnsi"/>
          <w:sz w:val="24"/>
        </w:rPr>
        <w:sectPr w:rsidR="003C0E1F" w:rsidRPr="00211D01" w:rsidSect="00D076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0E1F" w:rsidRPr="00211D01" w:rsidRDefault="003C0E1F" w:rsidP="00EA3FC2">
      <w:pPr>
        <w:spacing w:after="0"/>
        <w:jc w:val="both"/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  <w:gridCol w:w="1786"/>
        <w:gridCol w:w="1794"/>
        <w:gridCol w:w="2042"/>
        <w:gridCol w:w="1763"/>
        <w:gridCol w:w="1993"/>
        <w:gridCol w:w="1841"/>
      </w:tblGrid>
      <w:tr w:rsidR="00232E10" w:rsidRPr="00211D01" w:rsidTr="00437B3F">
        <w:trPr>
          <w:trHeight w:val="438"/>
        </w:trPr>
        <w:tc>
          <w:tcPr>
            <w:tcW w:w="1757" w:type="dxa"/>
            <w:vMerge w:val="restart"/>
            <w:vAlign w:val="center"/>
          </w:tcPr>
          <w:p w:rsidR="00232E10" w:rsidRPr="00211D01" w:rsidRDefault="00232E10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Criteria</w:t>
            </w:r>
          </w:p>
        </w:tc>
        <w:tc>
          <w:tcPr>
            <w:tcW w:w="1814" w:type="dxa"/>
            <w:vMerge w:val="restart"/>
            <w:vAlign w:val="center"/>
          </w:tcPr>
          <w:p w:rsidR="00232E10" w:rsidRPr="00211D01" w:rsidRDefault="00232E10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Method</w:t>
            </w:r>
          </w:p>
        </w:tc>
        <w:tc>
          <w:tcPr>
            <w:tcW w:w="1817" w:type="dxa"/>
            <w:vMerge w:val="restart"/>
            <w:vAlign w:val="center"/>
          </w:tcPr>
          <w:p w:rsidR="00232E10" w:rsidRPr="00211D01" w:rsidRDefault="00232E10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Assessment Due Date</w:t>
            </w:r>
          </w:p>
        </w:tc>
        <w:tc>
          <w:tcPr>
            <w:tcW w:w="2081" w:type="dxa"/>
            <w:vAlign w:val="center"/>
          </w:tcPr>
          <w:p w:rsidR="00232E10" w:rsidRPr="00211D01" w:rsidRDefault="00232E10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User Perspective</w:t>
            </w:r>
          </w:p>
        </w:tc>
        <w:tc>
          <w:tcPr>
            <w:tcW w:w="1797" w:type="dxa"/>
            <w:vAlign w:val="center"/>
          </w:tcPr>
          <w:p w:rsidR="00232E10" w:rsidRPr="00211D01" w:rsidRDefault="00232E10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Timelines</w:t>
            </w:r>
          </w:p>
        </w:tc>
        <w:tc>
          <w:tcPr>
            <w:tcW w:w="2042" w:type="dxa"/>
            <w:vMerge w:val="restart"/>
            <w:vAlign w:val="center"/>
          </w:tcPr>
          <w:p w:rsidR="00232E10" w:rsidRPr="00211D01" w:rsidRDefault="00232E10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Resource Usage</w:t>
            </w:r>
          </w:p>
        </w:tc>
        <w:tc>
          <w:tcPr>
            <w:tcW w:w="1868" w:type="dxa"/>
            <w:vMerge w:val="restart"/>
            <w:vAlign w:val="center"/>
          </w:tcPr>
          <w:p w:rsidR="00232E10" w:rsidRPr="00211D01" w:rsidRDefault="00232E10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Gender Perspective</w:t>
            </w:r>
          </w:p>
        </w:tc>
      </w:tr>
      <w:tr w:rsidR="00232E10" w:rsidRPr="00211D01" w:rsidTr="00437B3F">
        <w:trPr>
          <w:trHeight w:val="438"/>
        </w:trPr>
        <w:tc>
          <w:tcPr>
            <w:tcW w:w="1757" w:type="dxa"/>
            <w:vMerge/>
            <w:vAlign w:val="center"/>
          </w:tcPr>
          <w:p w:rsidR="00232E10" w:rsidRPr="00211D01" w:rsidRDefault="00232E10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814" w:type="dxa"/>
            <w:vMerge/>
            <w:vAlign w:val="center"/>
          </w:tcPr>
          <w:p w:rsidR="00232E10" w:rsidRPr="00211D01" w:rsidRDefault="00232E10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817" w:type="dxa"/>
            <w:vMerge/>
            <w:vAlign w:val="center"/>
          </w:tcPr>
          <w:p w:rsidR="00232E10" w:rsidRPr="00211D01" w:rsidRDefault="00232E10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878" w:type="dxa"/>
            <w:gridSpan w:val="2"/>
            <w:vAlign w:val="center"/>
          </w:tcPr>
          <w:p w:rsidR="00232E10" w:rsidRPr="00211D01" w:rsidRDefault="00232E10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(Date – Rating: Comments)</w:t>
            </w:r>
          </w:p>
        </w:tc>
        <w:tc>
          <w:tcPr>
            <w:tcW w:w="2042" w:type="dxa"/>
            <w:vMerge/>
            <w:vAlign w:val="center"/>
          </w:tcPr>
          <w:p w:rsidR="00232E10" w:rsidRPr="00211D01" w:rsidRDefault="00232E10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868" w:type="dxa"/>
            <w:vMerge/>
            <w:vAlign w:val="center"/>
          </w:tcPr>
          <w:p w:rsidR="00232E10" w:rsidRPr="00211D01" w:rsidRDefault="00232E10" w:rsidP="00437B3F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232E10" w:rsidRPr="00211D01" w:rsidTr="00437B3F">
        <w:tc>
          <w:tcPr>
            <w:tcW w:w="1757" w:type="dxa"/>
          </w:tcPr>
          <w:p w:rsidR="00232E10" w:rsidRPr="00211D01" w:rsidRDefault="00CE4679" w:rsidP="00437B3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ascii="Calibri" w:hAnsi="Calibri" w:cs="Calibri"/>
              </w:rPr>
              <w:t>1.1 HHs Poverty Assessment</w:t>
            </w:r>
          </w:p>
        </w:tc>
        <w:tc>
          <w:tcPr>
            <w:tcW w:w="1814" w:type="dxa"/>
          </w:tcPr>
          <w:p w:rsidR="00232E10" w:rsidRPr="00211D01" w:rsidRDefault="008826BD" w:rsidP="00437B3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>Reports from Area Offices</w:t>
            </w:r>
          </w:p>
          <w:p w:rsidR="008826BD" w:rsidRPr="00211D01" w:rsidRDefault="008826BD" w:rsidP="00437B3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>Project monitoring visits (BTORs)</w:t>
            </w:r>
          </w:p>
        </w:tc>
        <w:tc>
          <w:tcPr>
            <w:tcW w:w="1817" w:type="dxa"/>
          </w:tcPr>
          <w:p w:rsidR="00232E10" w:rsidRPr="00211D01" w:rsidRDefault="00232E10" w:rsidP="00437B3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081" w:type="dxa"/>
          </w:tcPr>
          <w:p w:rsidR="009B534D" w:rsidRPr="00211D01" w:rsidRDefault="009B534D">
            <w:pPr>
              <w:jc w:val="both"/>
              <w:rPr>
                <w:rFonts w:cstheme="minorHAnsi"/>
              </w:rPr>
            </w:pPr>
          </w:p>
        </w:tc>
        <w:tc>
          <w:tcPr>
            <w:tcW w:w="1797" w:type="dxa"/>
          </w:tcPr>
          <w:p w:rsidR="00232E10" w:rsidRPr="00211D01" w:rsidRDefault="00232E10" w:rsidP="00437B3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042" w:type="dxa"/>
          </w:tcPr>
          <w:p w:rsidR="00232E10" w:rsidRPr="00211D01" w:rsidRDefault="00232E10" w:rsidP="00437B3F">
            <w:pPr>
              <w:jc w:val="both"/>
              <w:rPr>
                <w:rFonts w:cstheme="minorHAnsi"/>
                <w:i/>
                <w:sz w:val="24"/>
              </w:rPr>
            </w:pPr>
          </w:p>
        </w:tc>
        <w:tc>
          <w:tcPr>
            <w:tcW w:w="1868" w:type="dxa"/>
          </w:tcPr>
          <w:p w:rsidR="00232E10" w:rsidRPr="00211D01" w:rsidRDefault="00232E10" w:rsidP="00437B3F">
            <w:pPr>
              <w:jc w:val="both"/>
              <w:rPr>
                <w:rFonts w:cstheme="minorHAnsi"/>
                <w:i/>
                <w:sz w:val="24"/>
              </w:rPr>
            </w:pPr>
          </w:p>
        </w:tc>
      </w:tr>
    </w:tbl>
    <w:p w:rsidR="00232E10" w:rsidRPr="00211D01" w:rsidRDefault="00232E10" w:rsidP="00EA3FC2">
      <w:pPr>
        <w:spacing w:after="0"/>
        <w:jc w:val="both"/>
        <w:rPr>
          <w:rFonts w:cstheme="minorHAnsi"/>
          <w:sz w:val="24"/>
        </w:rPr>
      </w:pPr>
    </w:p>
    <w:p w:rsidR="00232E10" w:rsidRPr="00211D01" w:rsidRDefault="00232E10" w:rsidP="00EA3FC2">
      <w:pPr>
        <w:spacing w:after="0"/>
        <w:jc w:val="both"/>
        <w:rPr>
          <w:rFonts w:cstheme="minorHAnsi"/>
          <w:sz w:val="24"/>
        </w:rPr>
        <w:sectPr w:rsidR="00232E10" w:rsidRPr="00211D01" w:rsidSect="00232E1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E4679" w:rsidRPr="00211D01" w:rsidRDefault="00CE4679" w:rsidP="00CE4679">
      <w:pPr>
        <w:spacing w:after="0"/>
        <w:jc w:val="both"/>
        <w:rPr>
          <w:rFonts w:cstheme="minorHAnsi"/>
          <w:i/>
          <w:sz w:val="24"/>
        </w:rPr>
      </w:pPr>
      <w:r w:rsidRPr="00211D01">
        <w:rPr>
          <w:rFonts w:cstheme="minorHAnsi"/>
          <w:b/>
          <w:sz w:val="24"/>
          <w:u w:val="single"/>
        </w:rPr>
        <w:lastRenderedPageBreak/>
        <w:t xml:space="preserve">2. Activity Performance: </w:t>
      </w: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</w:pPr>
    </w:p>
    <w:p w:rsidR="00CE4679" w:rsidRPr="00211D01" w:rsidRDefault="00CE4679" w:rsidP="00CE4679">
      <w:pPr>
        <w:spacing w:after="0"/>
        <w:jc w:val="both"/>
        <w:rPr>
          <w:rFonts w:ascii="Calibri" w:hAnsi="Calibri" w:cs="Calibri"/>
        </w:rPr>
      </w:pPr>
      <w:r w:rsidRPr="00211D01">
        <w:rPr>
          <w:rFonts w:cstheme="minorHAnsi"/>
          <w:sz w:val="24"/>
        </w:rPr>
        <w:t>Activity ID</w:t>
      </w:r>
      <w:r w:rsidRPr="00211D01">
        <w:rPr>
          <w:rFonts w:cstheme="minorHAnsi"/>
        </w:rPr>
        <w:t>:</w:t>
      </w:r>
      <w:r w:rsidRPr="00211D01">
        <w:rPr>
          <w:rFonts w:ascii="Calibri" w:hAnsi="Calibri" w:cs="Calibri"/>
        </w:rPr>
        <w:t xml:space="preserve"> 1. 2 Social Protection Mechanisms </w:t>
      </w: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>Start date: April 2013</w:t>
      </w: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End date: December 2014 </w:t>
      </w: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>Purpose: To provide poor households with social protection assistance to reduce vulnerability</w:t>
      </w: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Description: </w:t>
      </w:r>
    </w:p>
    <w:p w:rsidR="00CE4679" w:rsidRPr="00211D01" w:rsidRDefault="00CE4679" w:rsidP="00CE4679">
      <w:pPr>
        <w:adjustRightInd w:val="0"/>
        <w:snapToGrid w:val="0"/>
        <w:spacing w:after="60" w:line="240" w:lineRule="auto"/>
        <w:contextualSpacing/>
        <w:jc w:val="both"/>
        <w:rPr>
          <w:rFonts w:cs="Arial"/>
          <w:sz w:val="24"/>
          <w:szCs w:val="24"/>
        </w:rPr>
      </w:pPr>
      <w:r w:rsidRPr="00211D01">
        <w:rPr>
          <w:bCs/>
          <w:sz w:val="24"/>
          <w:szCs w:val="24"/>
        </w:rPr>
        <w:lastRenderedPageBreak/>
        <w:t>Identify and strengthen social protection mechanisms at community level</w:t>
      </w:r>
      <w:r w:rsidRPr="00211D01">
        <w:rPr>
          <w:rFonts w:ascii="Calibri" w:hAnsi="Calibri"/>
          <w:bCs/>
          <w:sz w:val="24"/>
          <w:szCs w:val="24"/>
        </w:rPr>
        <w:t xml:space="preserve">; </w:t>
      </w:r>
      <w:r w:rsidRPr="00211D01">
        <w:rPr>
          <w:rFonts w:cs="Arial"/>
          <w:sz w:val="24"/>
          <w:szCs w:val="24"/>
        </w:rPr>
        <w:t>Identify and train social protection mechanisms; Disburse livelihood assistance to identified households through identified social protection mechanisms</w:t>
      </w:r>
    </w:p>
    <w:p w:rsidR="00CE4679" w:rsidRPr="00211D01" w:rsidRDefault="00CE4679" w:rsidP="00CE4679">
      <w:pPr>
        <w:spacing w:after="60" w:line="240" w:lineRule="auto"/>
        <w:jc w:val="both"/>
        <w:rPr>
          <w:rFonts w:ascii="Calibri" w:hAnsi="Calibri"/>
          <w:bCs/>
        </w:rPr>
      </w:pPr>
    </w:p>
    <w:p w:rsidR="00CE4679" w:rsidRPr="00211D01" w:rsidRDefault="00CE4679" w:rsidP="00CE4679">
      <w:pPr>
        <w:spacing w:after="0"/>
        <w:jc w:val="both"/>
        <w:rPr>
          <w:rFonts w:cstheme="minorHAnsi"/>
          <w:i/>
          <w:sz w:val="24"/>
        </w:rPr>
      </w:pP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</w:pP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</w:pP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  <w:sectPr w:rsidR="00CE4679" w:rsidRPr="00211D01" w:rsidSect="00D076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3"/>
        <w:gridCol w:w="1785"/>
        <w:gridCol w:w="1794"/>
        <w:gridCol w:w="2042"/>
        <w:gridCol w:w="1763"/>
        <w:gridCol w:w="1992"/>
        <w:gridCol w:w="1841"/>
      </w:tblGrid>
      <w:tr w:rsidR="00CE4679" w:rsidRPr="00211D01" w:rsidTr="00437B3F">
        <w:trPr>
          <w:trHeight w:val="438"/>
        </w:trPr>
        <w:tc>
          <w:tcPr>
            <w:tcW w:w="1757" w:type="dxa"/>
            <w:vMerge w:val="restart"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Criteria</w:t>
            </w:r>
          </w:p>
        </w:tc>
        <w:tc>
          <w:tcPr>
            <w:tcW w:w="1814" w:type="dxa"/>
            <w:vMerge w:val="restart"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Method</w:t>
            </w:r>
          </w:p>
        </w:tc>
        <w:tc>
          <w:tcPr>
            <w:tcW w:w="1817" w:type="dxa"/>
            <w:vMerge w:val="restart"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Assessment Due Date</w:t>
            </w:r>
          </w:p>
        </w:tc>
        <w:tc>
          <w:tcPr>
            <w:tcW w:w="2081" w:type="dxa"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User Perspective</w:t>
            </w:r>
          </w:p>
        </w:tc>
        <w:tc>
          <w:tcPr>
            <w:tcW w:w="1797" w:type="dxa"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Timelines</w:t>
            </w:r>
          </w:p>
        </w:tc>
        <w:tc>
          <w:tcPr>
            <w:tcW w:w="2042" w:type="dxa"/>
            <w:vMerge w:val="restart"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Resource Usage</w:t>
            </w:r>
          </w:p>
        </w:tc>
        <w:tc>
          <w:tcPr>
            <w:tcW w:w="1868" w:type="dxa"/>
            <w:vMerge w:val="restart"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Gender Perspective</w:t>
            </w:r>
          </w:p>
        </w:tc>
      </w:tr>
      <w:tr w:rsidR="00CE4679" w:rsidRPr="00211D01" w:rsidTr="00437B3F">
        <w:trPr>
          <w:trHeight w:val="438"/>
        </w:trPr>
        <w:tc>
          <w:tcPr>
            <w:tcW w:w="1757" w:type="dxa"/>
            <w:vMerge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814" w:type="dxa"/>
            <w:vMerge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817" w:type="dxa"/>
            <w:vMerge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878" w:type="dxa"/>
            <w:gridSpan w:val="2"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(Date – Rating: Comments)</w:t>
            </w:r>
          </w:p>
        </w:tc>
        <w:tc>
          <w:tcPr>
            <w:tcW w:w="2042" w:type="dxa"/>
            <w:vMerge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868" w:type="dxa"/>
            <w:vMerge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CE4679" w:rsidRPr="00211D01" w:rsidTr="00437B3F">
        <w:tc>
          <w:tcPr>
            <w:tcW w:w="1757" w:type="dxa"/>
          </w:tcPr>
          <w:p w:rsidR="00CE4679" w:rsidRPr="00211D01" w:rsidRDefault="00CE4679" w:rsidP="00437B3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ascii="Calibri" w:hAnsi="Calibri" w:cs="Calibri"/>
              </w:rPr>
              <w:t>1.2 Social Protection Mechanisms</w:t>
            </w:r>
          </w:p>
        </w:tc>
        <w:tc>
          <w:tcPr>
            <w:tcW w:w="1814" w:type="dxa"/>
          </w:tcPr>
          <w:p w:rsidR="00CE4679" w:rsidRPr="00211D01" w:rsidRDefault="00CE4679" w:rsidP="00143EED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>Reports from Area Offices, project monitoring visits (BTORs)</w:t>
            </w:r>
          </w:p>
        </w:tc>
        <w:tc>
          <w:tcPr>
            <w:tcW w:w="1817" w:type="dxa"/>
          </w:tcPr>
          <w:p w:rsidR="00CE4679" w:rsidRPr="00211D01" w:rsidRDefault="00CE4679" w:rsidP="00A666D1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081" w:type="dxa"/>
          </w:tcPr>
          <w:p w:rsidR="00CE4679" w:rsidRPr="00211D01" w:rsidRDefault="00CE4679" w:rsidP="00F06587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1797" w:type="dxa"/>
          </w:tcPr>
          <w:p w:rsidR="00CE4679" w:rsidRPr="00211D01" w:rsidRDefault="00CE4679" w:rsidP="00437B3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042" w:type="dxa"/>
          </w:tcPr>
          <w:p w:rsidR="00CE4679" w:rsidRPr="00211D01" w:rsidRDefault="00CE4679" w:rsidP="00437B3F">
            <w:pPr>
              <w:jc w:val="both"/>
              <w:rPr>
                <w:rFonts w:cstheme="minorHAnsi"/>
                <w:i/>
                <w:sz w:val="24"/>
              </w:rPr>
            </w:pPr>
          </w:p>
        </w:tc>
        <w:tc>
          <w:tcPr>
            <w:tcW w:w="1868" w:type="dxa"/>
          </w:tcPr>
          <w:p w:rsidR="00CE4679" w:rsidRPr="00211D01" w:rsidRDefault="00CE4679" w:rsidP="00437B3F">
            <w:pPr>
              <w:jc w:val="both"/>
              <w:rPr>
                <w:rFonts w:cstheme="minorHAnsi"/>
                <w:i/>
                <w:sz w:val="24"/>
              </w:rPr>
            </w:pPr>
          </w:p>
        </w:tc>
      </w:tr>
    </w:tbl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</w:pP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  <w:sectPr w:rsidR="00CE4679" w:rsidRPr="00211D01" w:rsidSect="00232E1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1410C" w:rsidRPr="00211D01" w:rsidRDefault="00D1410C" w:rsidP="00D1410C">
      <w:pPr>
        <w:spacing w:after="0"/>
        <w:jc w:val="both"/>
        <w:rPr>
          <w:rFonts w:ascii="Calibri" w:hAnsi="Calibri" w:cs="Calibri"/>
        </w:rPr>
      </w:pPr>
      <w:r w:rsidRPr="00211D01">
        <w:rPr>
          <w:rFonts w:cstheme="minorHAnsi"/>
          <w:sz w:val="24"/>
        </w:rPr>
        <w:lastRenderedPageBreak/>
        <w:t>Activity ID</w:t>
      </w:r>
      <w:r w:rsidRPr="00211D01">
        <w:rPr>
          <w:rFonts w:cstheme="minorHAnsi"/>
        </w:rPr>
        <w:t>:</w:t>
      </w:r>
      <w:r w:rsidRPr="00211D01">
        <w:rPr>
          <w:rFonts w:ascii="Calibri" w:hAnsi="Calibri" w:cs="Calibri"/>
        </w:rPr>
        <w:t xml:space="preserve"> 1. 3 Social Protection Grants</w:t>
      </w:r>
    </w:p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>Start date: April 2013</w:t>
      </w:r>
    </w:p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End date: December 2014 </w:t>
      </w:r>
    </w:p>
    <w:p w:rsidR="00CE4679" w:rsidRPr="00211D01" w:rsidRDefault="00CE4679" w:rsidP="00CE4679">
      <w:pPr>
        <w:spacing w:after="0"/>
        <w:jc w:val="both"/>
        <w:rPr>
          <w:rFonts w:ascii="Calibri" w:hAnsi="Calibri" w:cs="Calibri"/>
        </w:rPr>
      </w:pPr>
      <w:r w:rsidRPr="00211D01">
        <w:rPr>
          <w:rFonts w:cstheme="minorHAnsi"/>
          <w:sz w:val="24"/>
        </w:rPr>
        <w:t>Activity ID</w:t>
      </w:r>
      <w:r w:rsidRPr="00211D01">
        <w:rPr>
          <w:rFonts w:cstheme="minorHAnsi"/>
        </w:rPr>
        <w:t>:</w:t>
      </w:r>
      <w:r w:rsidRPr="00211D01">
        <w:rPr>
          <w:rFonts w:ascii="Calibri" w:hAnsi="Calibri" w:cs="Calibri"/>
        </w:rPr>
        <w:t xml:space="preserve"> </w:t>
      </w: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>Start date: April 2013</w:t>
      </w: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End date: December 2014 </w:t>
      </w: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>Purpose: To provide poor households with social protection assistance to reduce vulnerability</w:t>
      </w: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Description: </w:t>
      </w:r>
    </w:p>
    <w:p w:rsidR="00CE4679" w:rsidRPr="00211D01" w:rsidRDefault="00CE4679" w:rsidP="00CE4679">
      <w:pPr>
        <w:adjustRightInd w:val="0"/>
        <w:snapToGrid w:val="0"/>
        <w:spacing w:after="60" w:line="240" w:lineRule="auto"/>
        <w:contextualSpacing/>
        <w:jc w:val="both"/>
        <w:rPr>
          <w:rFonts w:cs="Arial"/>
          <w:sz w:val="24"/>
          <w:szCs w:val="24"/>
        </w:rPr>
      </w:pPr>
      <w:r w:rsidRPr="00211D01">
        <w:rPr>
          <w:rFonts w:cs="Arial"/>
          <w:sz w:val="24"/>
          <w:szCs w:val="24"/>
        </w:rPr>
        <w:lastRenderedPageBreak/>
        <w:t>Disburse livelihood assistance to identified households through identified social protection mechanisms</w:t>
      </w:r>
    </w:p>
    <w:p w:rsidR="00CE4679" w:rsidRPr="00211D01" w:rsidRDefault="00CE4679" w:rsidP="00CE4679">
      <w:pPr>
        <w:spacing w:after="60" w:line="240" w:lineRule="auto"/>
        <w:jc w:val="both"/>
        <w:rPr>
          <w:rFonts w:ascii="Calibri" w:hAnsi="Calibri"/>
          <w:bCs/>
        </w:rPr>
      </w:pPr>
    </w:p>
    <w:p w:rsidR="00CE4679" w:rsidRPr="00211D01" w:rsidRDefault="00CE4679" w:rsidP="00CE4679">
      <w:pPr>
        <w:spacing w:after="0"/>
        <w:jc w:val="both"/>
        <w:rPr>
          <w:rFonts w:cstheme="minorHAnsi"/>
          <w:i/>
          <w:sz w:val="24"/>
        </w:rPr>
      </w:pP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</w:pP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</w:pP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  <w:sectPr w:rsidR="00CE4679" w:rsidRPr="00211D01" w:rsidSect="00D076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4"/>
        <w:gridCol w:w="1787"/>
        <w:gridCol w:w="1795"/>
        <w:gridCol w:w="2044"/>
        <w:gridCol w:w="1764"/>
        <w:gridCol w:w="1994"/>
        <w:gridCol w:w="1842"/>
      </w:tblGrid>
      <w:tr w:rsidR="00CE4679" w:rsidRPr="00211D01" w:rsidTr="00437B3F">
        <w:trPr>
          <w:trHeight w:val="438"/>
        </w:trPr>
        <w:tc>
          <w:tcPr>
            <w:tcW w:w="1757" w:type="dxa"/>
            <w:vMerge w:val="restart"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Criteria</w:t>
            </w:r>
          </w:p>
        </w:tc>
        <w:tc>
          <w:tcPr>
            <w:tcW w:w="1814" w:type="dxa"/>
            <w:vMerge w:val="restart"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Method</w:t>
            </w:r>
          </w:p>
        </w:tc>
        <w:tc>
          <w:tcPr>
            <w:tcW w:w="1817" w:type="dxa"/>
            <w:vMerge w:val="restart"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Assessment Due Date</w:t>
            </w:r>
          </w:p>
        </w:tc>
        <w:tc>
          <w:tcPr>
            <w:tcW w:w="2081" w:type="dxa"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User Perspective</w:t>
            </w:r>
          </w:p>
        </w:tc>
        <w:tc>
          <w:tcPr>
            <w:tcW w:w="1797" w:type="dxa"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Timelines</w:t>
            </w:r>
          </w:p>
        </w:tc>
        <w:tc>
          <w:tcPr>
            <w:tcW w:w="2042" w:type="dxa"/>
            <w:vMerge w:val="restart"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Resource Usage</w:t>
            </w:r>
          </w:p>
        </w:tc>
        <w:tc>
          <w:tcPr>
            <w:tcW w:w="1868" w:type="dxa"/>
            <w:vMerge w:val="restart"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Gender Perspective</w:t>
            </w:r>
          </w:p>
        </w:tc>
      </w:tr>
      <w:tr w:rsidR="00CE4679" w:rsidRPr="00211D01" w:rsidTr="00437B3F">
        <w:trPr>
          <w:trHeight w:val="438"/>
        </w:trPr>
        <w:tc>
          <w:tcPr>
            <w:tcW w:w="1757" w:type="dxa"/>
            <w:vMerge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814" w:type="dxa"/>
            <w:vMerge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817" w:type="dxa"/>
            <w:vMerge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878" w:type="dxa"/>
            <w:gridSpan w:val="2"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(Date – Rating: Comments)</w:t>
            </w:r>
          </w:p>
        </w:tc>
        <w:tc>
          <w:tcPr>
            <w:tcW w:w="2042" w:type="dxa"/>
            <w:vMerge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868" w:type="dxa"/>
            <w:vMerge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CE4679" w:rsidRPr="00211D01" w:rsidTr="00333457">
        <w:tc>
          <w:tcPr>
            <w:tcW w:w="1757" w:type="dxa"/>
            <w:shd w:val="clear" w:color="auto" w:fill="auto"/>
          </w:tcPr>
          <w:p w:rsidR="00CE4679" w:rsidRPr="00211D01" w:rsidRDefault="00D1410C" w:rsidP="00437B3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ascii="Calibri" w:hAnsi="Calibri" w:cs="Calibri"/>
              </w:rPr>
              <w:t>1. 3 Social Protection Grants</w:t>
            </w:r>
          </w:p>
        </w:tc>
        <w:tc>
          <w:tcPr>
            <w:tcW w:w="1814" w:type="dxa"/>
            <w:shd w:val="clear" w:color="auto" w:fill="auto"/>
          </w:tcPr>
          <w:p w:rsidR="00CE4679" w:rsidRPr="00211D01" w:rsidRDefault="00CE4679" w:rsidP="000E6EC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>Reports from Area Offices, project monitoring visits (BTORs)</w:t>
            </w:r>
          </w:p>
        </w:tc>
        <w:tc>
          <w:tcPr>
            <w:tcW w:w="1817" w:type="dxa"/>
            <w:shd w:val="clear" w:color="auto" w:fill="auto"/>
          </w:tcPr>
          <w:p w:rsidR="00CE4679" w:rsidRPr="00211D01" w:rsidRDefault="00CE4679" w:rsidP="00437B3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081" w:type="dxa"/>
          </w:tcPr>
          <w:p w:rsidR="00CE4679" w:rsidRPr="00211D01" w:rsidRDefault="00CE4679" w:rsidP="000928E9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1797" w:type="dxa"/>
          </w:tcPr>
          <w:p w:rsidR="00CE4679" w:rsidRPr="00211D01" w:rsidRDefault="00CE4679" w:rsidP="00437B3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042" w:type="dxa"/>
          </w:tcPr>
          <w:p w:rsidR="00CE4679" w:rsidRPr="00211D01" w:rsidRDefault="00CE4679" w:rsidP="00437B3F">
            <w:pPr>
              <w:jc w:val="both"/>
              <w:rPr>
                <w:rFonts w:cstheme="minorHAnsi"/>
                <w:i/>
                <w:sz w:val="24"/>
              </w:rPr>
            </w:pPr>
          </w:p>
        </w:tc>
        <w:tc>
          <w:tcPr>
            <w:tcW w:w="1868" w:type="dxa"/>
          </w:tcPr>
          <w:p w:rsidR="00CE4679" w:rsidRPr="00211D01" w:rsidRDefault="00CE4679" w:rsidP="006406A8">
            <w:pPr>
              <w:jc w:val="both"/>
              <w:rPr>
                <w:rFonts w:cstheme="minorHAnsi"/>
                <w:i/>
                <w:sz w:val="24"/>
              </w:rPr>
            </w:pPr>
          </w:p>
        </w:tc>
      </w:tr>
    </w:tbl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</w:pP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  <w:sectPr w:rsidR="00CE4679" w:rsidRPr="00211D01" w:rsidSect="00232E1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1410C" w:rsidRPr="00211D01" w:rsidRDefault="00D1410C" w:rsidP="00D1410C">
      <w:pPr>
        <w:spacing w:after="0"/>
        <w:jc w:val="both"/>
        <w:rPr>
          <w:rFonts w:ascii="Calibri" w:hAnsi="Calibri" w:cs="Calibri"/>
        </w:rPr>
      </w:pPr>
      <w:r w:rsidRPr="00211D01">
        <w:rPr>
          <w:rFonts w:cstheme="minorHAnsi"/>
          <w:sz w:val="24"/>
        </w:rPr>
        <w:lastRenderedPageBreak/>
        <w:t>Activity ID</w:t>
      </w:r>
      <w:r w:rsidRPr="00211D01">
        <w:rPr>
          <w:rFonts w:cstheme="minorHAnsi"/>
        </w:rPr>
        <w:t>:</w:t>
      </w:r>
      <w:r w:rsidRPr="00211D01">
        <w:rPr>
          <w:rFonts w:ascii="Calibri" w:hAnsi="Calibri" w:cs="Calibri"/>
        </w:rPr>
        <w:t xml:space="preserve"> 2.1 Baseline Assessment</w:t>
      </w:r>
    </w:p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>Start date: April 2013</w:t>
      </w:r>
    </w:p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End date: December 2014 </w:t>
      </w:r>
    </w:p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Purpose: </w:t>
      </w:r>
      <w:r w:rsidRPr="00211D01">
        <w:rPr>
          <w:rFonts w:ascii="Calibri" w:hAnsi="Calibri"/>
          <w:bCs/>
        </w:rPr>
        <w:t>Identify Early Recovery, Livelihoods and Social Cohesion baselines in target locations;</w:t>
      </w:r>
    </w:p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Description: </w:t>
      </w:r>
    </w:p>
    <w:p w:rsidR="00D1410C" w:rsidRPr="00211D01" w:rsidRDefault="00D1410C" w:rsidP="00D1410C">
      <w:pPr>
        <w:spacing w:after="60" w:line="240" w:lineRule="auto"/>
        <w:jc w:val="both"/>
        <w:rPr>
          <w:rFonts w:ascii="Calibri" w:hAnsi="Calibri"/>
          <w:bCs/>
        </w:rPr>
      </w:pPr>
      <w:r w:rsidRPr="00211D01">
        <w:rPr>
          <w:rFonts w:cs="Arial"/>
        </w:rPr>
        <w:t xml:space="preserve">Develop/improve methodologies for </w:t>
      </w:r>
      <w:r w:rsidRPr="00211D01">
        <w:rPr>
          <w:bCs/>
        </w:rPr>
        <w:t xml:space="preserve">Early Recovery, Livelihoods and Social Cohesion </w:t>
      </w:r>
      <w:r w:rsidRPr="00211D01">
        <w:rPr>
          <w:rFonts w:cs="Arial"/>
        </w:rPr>
        <w:t>assessments; Train staff and partners on assessment methodologies</w:t>
      </w:r>
      <w:r w:rsidRPr="00211D01">
        <w:rPr>
          <w:rFonts w:ascii="Calibri" w:hAnsi="Calibri"/>
          <w:bCs/>
        </w:rPr>
        <w:t xml:space="preserve">; </w:t>
      </w:r>
      <w:r w:rsidRPr="00211D01">
        <w:rPr>
          <w:rFonts w:cs="Arial"/>
        </w:rPr>
        <w:t>Conduct assessments in target locations</w:t>
      </w:r>
      <w:r w:rsidRPr="00211D01">
        <w:rPr>
          <w:rFonts w:ascii="Calibri" w:hAnsi="Calibri"/>
          <w:bCs/>
        </w:rPr>
        <w:t>;</w:t>
      </w:r>
    </w:p>
    <w:p w:rsidR="00D1410C" w:rsidRPr="00211D01" w:rsidRDefault="00D1410C" w:rsidP="00D1410C">
      <w:pPr>
        <w:spacing w:after="0"/>
        <w:jc w:val="both"/>
        <w:rPr>
          <w:rFonts w:cstheme="minorHAnsi"/>
          <w:i/>
          <w:sz w:val="24"/>
        </w:rPr>
      </w:pPr>
    </w:p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</w:pPr>
    </w:p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</w:pPr>
    </w:p>
    <w:p w:rsidR="007655D2" w:rsidRDefault="007655D2" w:rsidP="00D1410C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  <w:sectPr w:rsidR="00D1410C" w:rsidRPr="00211D01" w:rsidSect="00D076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410C" w:rsidRPr="00211D01" w:rsidRDefault="007655D2" w:rsidP="00D1410C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  <w:gridCol w:w="1785"/>
        <w:gridCol w:w="1791"/>
        <w:gridCol w:w="2043"/>
        <w:gridCol w:w="1764"/>
        <w:gridCol w:w="1997"/>
        <w:gridCol w:w="1839"/>
      </w:tblGrid>
      <w:tr w:rsidR="00B91B5F" w:rsidRPr="009C7EC9" w:rsidTr="00437B3F">
        <w:trPr>
          <w:trHeight w:val="438"/>
        </w:trPr>
        <w:tc>
          <w:tcPr>
            <w:tcW w:w="1757" w:type="dxa"/>
            <w:vMerge w:val="restart"/>
            <w:vAlign w:val="center"/>
          </w:tcPr>
          <w:p w:rsidR="00D1410C" w:rsidRPr="009C7EC9" w:rsidRDefault="00D1410C" w:rsidP="00437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7EC9">
              <w:rPr>
                <w:rFonts w:cstheme="minorHAnsi"/>
                <w:b/>
                <w:sz w:val="20"/>
                <w:szCs w:val="20"/>
              </w:rPr>
              <w:t>Quality Criteria</w:t>
            </w:r>
          </w:p>
        </w:tc>
        <w:tc>
          <w:tcPr>
            <w:tcW w:w="1814" w:type="dxa"/>
            <w:vMerge w:val="restart"/>
            <w:vAlign w:val="center"/>
          </w:tcPr>
          <w:p w:rsidR="00D1410C" w:rsidRPr="009C7EC9" w:rsidRDefault="00D1410C" w:rsidP="00437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7EC9">
              <w:rPr>
                <w:rFonts w:cstheme="minorHAnsi"/>
                <w:b/>
                <w:sz w:val="20"/>
                <w:szCs w:val="20"/>
              </w:rPr>
              <w:t>Quality Method</w:t>
            </w:r>
          </w:p>
        </w:tc>
        <w:tc>
          <w:tcPr>
            <w:tcW w:w="1817" w:type="dxa"/>
            <w:vMerge w:val="restart"/>
            <w:vAlign w:val="center"/>
          </w:tcPr>
          <w:p w:rsidR="00D1410C" w:rsidRPr="009C7EC9" w:rsidRDefault="00D1410C" w:rsidP="00437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7EC9">
              <w:rPr>
                <w:rFonts w:cstheme="minorHAnsi"/>
                <w:b/>
                <w:sz w:val="20"/>
                <w:szCs w:val="20"/>
              </w:rPr>
              <w:t>Quality Assessment Due Date</w:t>
            </w:r>
          </w:p>
        </w:tc>
        <w:tc>
          <w:tcPr>
            <w:tcW w:w="2081" w:type="dxa"/>
            <w:vAlign w:val="center"/>
          </w:tcPr>
          <w:p w:rsidR="00D1410C" w:rsidRPr="009C7EC9" w:rsidRDefault="00D1410C" w:rsidP="00437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7EC9">
              <w:rPr>
                <w:rFonts w:cstheme="minorHAnsi"/>
                <w:b/>
                <w:sz w:val="20"/>
                <w:szCs w:val="20"/>
              </w:rPr>
              <w:t>User Perspective</w:t>
            </w:r>
          </w:p>
        </w:tc>
        <w:tc>
          <w:tcPr>
            <w:tcW w:w="1797" w:type="dxa"/>
            <w:vAlign w:val="center"/>
          </w:tcPr>
          <w:p w:rsidR="00D1410C" w:rsidRPr="009C7EC9" w:rsidRDefault="00D1410C" w:rsidP="00437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7EC9">
              <w:rPr>
                <w:rFonts w:cstheme="minorHAnsi"/>
                <w:b/>
                <w:sz w:val="20"/>
                <w:szCs w:val="20"/>
              </w:rPr>
              <w:t>Timelines</w:t>
            </w:r>
          </w:p>
        </w:tc>
        <w:tc>
          <w:tcPr>
            <w:tcW w:w="2042" w:type="dxa"/>
            <w:vMerge w:val="restart"/>
            <w:vAlign w:val="center"/>
          </w:tcPr>
          <w:p w:rsidR="00D1410C" w:rsidRPr="009C7EC9" w:rsidRDefault="00D1410C" w:rsidP="00437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7EC9">
              <w:rPr>
                <w:rFonts w:cstheme="minorHAnsi"/>
                <w:b/>
                <w:sz w:val="20"/>
                <w:szCs w:val="20"/>
              </w:rPr>
              <w:t>Resource Usage</w:t>
            </w:r>
          </w:p>
        </w:tc>
        <w:tc>
          <w:tcPr>
            <w:tcW w:w="1868" w:type="dxa"/>
            <w:vMerge w:val="restart"/>
            <w:vAlign w:val="center"/>
          </w:tcPr>
          <w:p w:rsidR="00D1410C" w:rsidRPr="009C7EC9" w:rsidRDefault="00D1410C" w:rsidP="00437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7EC9">
              <w:rPr>
                <w:rFonts w:cstheme="minorHAnsi"/>
                <w:b/>
                <w:sz w:val="20"/>
                <w:szCs w:val="20"/>
              </w:rPr>
              <w:t>Gender Perspective</w:t>
            </w:r>
          </w:p>
        </w:tc>
      </w:tr>
      <w:tr w:rsidR="00B91B5F" w:rsidRPr="009C7EC9" w:rsidTr="00437B3F">
        <w:trPr>
          <w:trHeight w:val="438"/>
        </w:trPr>
        <w:tc>
          <w:tcPr>
            <w:tcW w:w="1757" w:type="dxa"/>
            <w:vMerge/>
            <w:vAlign w:val="center"/>
          </w:tcPr>
          <w:p w:rsidR="00D1410C" w:rsidRPr="009C7EC9" w:rsidRDefault="00D1410C" w:rsidP="00437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D1410C" w:rsidRPr="009C7EC9" w:rsidRDefault="00D1410C" w:rsidP="00437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7" w:type="dxa"/>
            <w:vMerge/>
            <w:vAlign w:val="center"/>
          </w:tcPr>
          <w:p w:rsidR="00D1410C" w:rsidRPr="009C7EC9" w:rsidRDefault="00D1410C" w:rsidP="00437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Align w:val="center"/>
          </w:tcPr>
          <w:p w:rsidR="00D1410C" w:rsidRPr="009C7EC9" w:rsidRDefault="00D1410C" w:rsidP="00437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7EC9">
              <w:rPr>
                <w:rFonts w:cstheme="minorHAnsi"/>
                <w:b/>
                <w:sz w:val="20"/>
                <w:szCs w:val="20"/>
              </w:rPr>
              <w:t>(Date – Rating: Comments)</w:t>
            </w:r>
          </w:p>
        </w:tc>
        <w:tc>
          <w:tcPr>
            <w:tcW w:w="2042" w:type="dxa"/>
            <w:vMerge/>
            <w:vAlign w:val="center"/>
          </w:tcPr>
          <w:p w:rsidR="00D1410C" w:rsidRPr="009C7EC9" w:rsidRDefault="00D1410C" w:rsidP="00437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:rsidR="00D1410C" w:rsidRPr="009C7EC9" w:rsidRDefault="00D1410C" w:rsidP="00437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91B5F" w:rsidRPr="009C7EC9" w:rsidTr="00437B3F">
        <w:tc>
          <w:tcPr>
            <w:tcW w:w="1757" w:type="dxa"/>
          </w:tcPr>
          <w:p w:rsidR="00D1410C" w:rsidRPr="009C7EC9" w:rsidRDefault="00D1410C" w:rsidP="00437B3F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ascii="Calibri" w:hAnsi="Calibri" w:cs="Calibri"/>
                <w:sz w:val="20"/>
                <w:szCs w:val="20"/>
              </w:rPr>
              <w:t>2.1 Baseline Assessment</w:t>
            </w:r>
          </w:p>
        </w:tc>
        <w:tc>
          <w:tcPr>
            <w:tcW w:w="1814" w:type="dxa"/>
          </w:tcPr>
          <w:p w:rsidR="00D1410C" w:rsidRPr="009C7EC9" w:rsidRDefault="00D1410C" w:rsidP="00C81289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>Reports from</w:t>
            </w:r>
            <w:r w:rsidRPr="009C7EC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C7EC9">
              <w:rPr>
                <w:rFonts w:cstheme="minorHAnsi"/>
                <w:sz w:val="20"/>
                <w:szCs w:val="20"/>
              </w:rPr>
              <w:t>Area Offices, project monitoring visits (BTORs)</w:t>
            </w:r>
          </w:p>
        </w:tc>
        <w:tc>
          <w:tcPr>
            <w:tcW w:w="1817" w:type="dxa"/>
          </w:tcPr>
          <w:p w:rsidR="00D1410C" w:rsidRPr="009C7EC9" w:rsidRDefault="00C81289" w:rsidP="00437B3F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>September</w:t>
            </w:r>
            <w:r w:rsidR="00D1410C" w:rsidRPr="009C7EC9">
              <w:rPr>
                <w:rFonts w:cstheme="minorHAnsi"/>
                <w:sz w:val="20"/>
                <w:szCs w:val="20"/>
              </w:rPr>
              <w:t xml:space="preserve"> 2014</w:t>
            </w:r>
          </w:p>
        </w:tc>
        <w:tc>
          <w:tcPr>
            <w:tcW w:w="2081" w:type="dxa"/>
          </w:tcPr>
          <w:p w:rsidR="007655D2" w:rsidRPr="009C7EC9" w:rsidRDefault="00D1410C" w:rsidP="00CB1647">
            <w:pPr>
              <w:jc w:val="both"/>
              <w:rPr>
                <w:rFonts w:ascii="Myriad Pro" w:hAnsi="Myriad Pro" w:cstheme="minorHAnsi"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>-</w:t>
            </w:r>
            <w:r w:rsidR="00CB1647" w:rsidRPr="009C7EC9">
              <w:rPr>
                <w:rFonts w:cstheme="minorHAnsi"/>
                <w:sz w:val="20"/>
                <w:szCs w:val="20"/>
              </w:rPr>
              <w:t xml:space="preserve"> </w:t>
            </w:r>
            <w:r w:rsidR="00596074" w:rsidRPr="009C7EC9">
              <w:rPr>
                <w:rFonts w:cstheme="minorHAnsi"/>
                <w:sz w:val="20"/>
                <w:szCs w:val="20"/>
              </w:rPr>
              <w:t xml:space="preserve">Conducted </w:t>
            </w:r>
            <w:r w:rsidR="00596074" w:rsidRPr="009C7EC9">
              <w:rPr>
                <w:rFonts w:ascii="Myriad Pro" w:hAnsi="Myriad Pro" w:cstheme="minorHAnsi"/>
                <w:sz w:val="20"/>
                <w:szCs w:val="20"/>
              </w:rPr>
              <w:t xml:space="preserve">livelihood and social cohesion </w:t>
            </w:r>
            <w:r w:rsidR="00B91B5F" w:rsidRPr="009C7EC9">
              <w:rPr>
                <w:rFonts w:ascii="Myriad Pro" w:hAnsi="Myriad Pro" w:cstheme="minorHAnsi"/>
                <w:sz w:val="20"/>
                <w:szCs w:val="20"/>
              </w:rPr>
              <w:t xml:space="preserve">output level indicators </w:t>
            </w:r>
            <w:r w:rsidR="00C81289" w:rsidRPr="009C7EC9">
              <w:rPr>
                <w:rFonts w:ascii="Myriad Pro" w:hAnsi="Myriad Pro" w:cstheme="minorHAnsi"/>
                <w:sz w:val="20"/>
                <w:szCs w:val="20"/>
              </w:rPr>
              <w:t>assessment in</w:t>
            </w:r>
            <w:r w:rsidR="007655D2" w:rsidRPr="009C7EC9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="009C7EC9" w:rsidRPr="009C7EC9">
              <w:rPr>
                <w:rFonts w:ascii="Myriad Pro" w:hAnsi="Myriad Pro" w:cstheme="minorHAnsi"/>
                <w:sz w:val="20"/>
                <w:szCs w:val="20"/>
              </w:rPr>
              <w:t xml:space="preserve">target villages, using a </w:t>
            </w:r>
            <w:r w:rsidR="007655D2" w:rsidRPr="009C7EC9">
              <w:rPr>
                <w:rFonts w:ascii="Myriad Pro" w:hAnsi="Myriad Pro" w:cstheme="minorHAnsi"/>
                <w:sz w:val="20"/>
                <w:szCs w:val="20"/>
              </w:rPr>
              <w:t>random sampling of 40% in every village in Shan, Mon</w:t>
            </w:r>
            <w:r w:rsidR="005126C1" w:rsidRPr="009C7EC9">
              <w:rPr>
                <w:rFonts w:ascii="Myriad Pro" w:hAnsi="Myriad Pro" w:cstheme="minorHAnsi"/>
                <w:sz w:val="20"/>
                <w:szCs w:val="20"/>
              </w:rPr>
              <w:t>, Kayin, Kayah, Chin and Kachin states.</w:t>
            </w:r>
          </w:p>
          <w:p w:rsidR="009C7EC9" w:rsidRPr="009C7EC9" w:rsidRDefault="009C7EC9" w:rsidP="00596074">
            <w:pPr>
              <w:jc w:val="both"/>
              <w:rPr>
                <w:rFonts w:ascii="Myriad Pro" w:hAnsi="Myriad Pro" w:cstheme="minorHAnsi"/>
                <w:color w:val="4F81BD" w:themeColor="accent1"/>
                <w:sz w:val="20"/>
                <w:szCs w:val="20"/>
              </w:rPr>
            </w:pPr>
          </w:p>
          <w:p w:rsidR="00596074" w:rsidRPr="009C7EC9" w:rsidRDefault="00524E91" w:rsidP="009C7EC9">
            <w:pPr>
              <w:jc w:val="both"/>
              <w:rPr>
                <w:rFonts w:ascii="Myriad Pro" w:hAnsi="Myriad Pro" w:cstheme="minorHAnsi"/>
                <w:color w:val="4F81BD" w:themeColor="accent1"/>
                <w:sz w:val="20"/>
                <w:szCs w:val="20"/>
              </w:rPr>
            </w:pPr>
            <w:r w:rsidRPr="009C7EC9">
              <w:rPr>
                <w:rFonts w:ascii="Myriad Pro" w:hAnsi="Myriad Pro" w:cstheme="minorHAnsi"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</w:tcPr>
          <w:p w:rsidR="00D1410C" w:rsidRPr="009C7EC9" w:rsidRDefault="00C81289" w:rsidP="00437B3F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 xml:space="preserve"> On time</w:t>
            </w:r>
          </w:p>
        </w:tc>
        <w:tc>
          <w:tcPr>
            <w:tcW w:w="2042" w:type="dxa"/>
          </w:tcPr>
          <w:p w:rsidR="00D1410C" w:rsidRPr="009C7EC9" w:rsidRDefault="00D1410C" w:rsidP="00596074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868" w:type="dxa"/>
          </w:tcPr>
          <w:p w:rsidR="00656DFB" w:rsidRPr="009C7EC9" w:rsidRDefault="00656DFB" w:rsidP="009C7EC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</w:pPr>
    </w:p>
    <w:p w:rsidR="00D1410C" w:rsidRPr="00211D01" w:rsidRDefault="00D1410C" w:rsidP="00BB5C54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7655D2" w:rsidRDefault="007655D2" w:rsidP="007655D2">
      <w:pPr>
        <w:tabs>
          <w:tab w:val="left" w:pos="146"/>
        </w:tabs>
        <w:spacing w:before="120" w:after="0" w:line="240" w:lineRule="auto"/>
        <w:jc w:val="both"/>
        <w:rPr>
          <w:rFonts w:cstheme="minorHAnsi"/>
          <w:sz w:val="24"/>
        </w:rPr>
        <w:sectPr w:rsidR="007655D2" w:rsidSect="007655D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1410C" w:rsidRPr="00211D01" w:rsidRDefault="00D1410C" w:rsidP="007655D2">
      <w:pPr>
        <w:tabs>
          <w:tab w:val="left" w:pos="146"/>
        </w:tabs>
        <w:spacing w:before="120" w:after="0" w:line="240" w:lineRule="auto"/>
        <w:jc w:val="both"/>
        <w:rPr>
          <w:rFonts w:cstheme="minorHAnsi"/>
          <w:sz w:val="24"/>
        </w:rPr>
      </w:pPr>
    </w:p>
    <w:p w:rsidR="00D1410C" w:rsidRPr="00211D01" w:rsidRDefault="00D1410C" w:rsidP="00D1410C">
      <w:pPr>
        <w:spacing w:after="0"/>
        <w:jc w:val="both"/>
        <w:rPr>
          <w:rFonts w:ascii="Calibri" w:hAnsi="Calibri" w:cs="Calibri"/>
        </w:rPr>
      </w:pPr>
      <w:r w:rsidRPr="00211D01">
        <w:rPr>
          <w:rFonts w:cstheme="minorHAnsi"/>
          <w:sz w:val="24"/>
        </w:rPr>
        <w:t>Activity ID</w:t>
      </w:r>
      <w:r w:rsidRPr="00211D01">
        <w:rPr>
          <w:rFonts w:cstheme="minorHAnsi"/>
        </w:rPr>
        <w:t>:</w:t>
      </w:r>
      <w:r w:rsidRPr="00211D01">
        <w:rPr>
          <w:rFonts w:ascii="Calibri" w:hAnsi="Calibri" w:cs="Calibri"/>
        </w:rPr>
        <w:t xml:space="preserve"> 2.2 Livelihood and Infrastructure </w:t>
      </w:r>
    </w:p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>Start date: April 2013</w:t>
      </w:r>
    </w:p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End date: December 2014 </w:t>
      </w:r>
    </w:p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Purpose: </w:t>
      </w:r>
      <w:r w:rsidRPr="00211D01">
        <w:rPr>
          <w:bCs/>
        </w:rPr>
        <w:t>Support sustainable livelihood recovery and livelihood development of communities in target locations</w:t>
      </w:r>
      <w:r w:rsidRPr="00211D01">
        <w:rPr>
          <w:rFonts w:ascii="Calibri" w:hAnsi="Calibri"/>
          <w:bCs/>
        </w:rPr>
        <w:t>;</w:t>
      </w:r>
    </w:p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Description: </w:t>
      </w:r>
    </w:p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</w:pPr>
      <w:r w:rsidRPr="00211D01">
        <w:rPr>
          <w:rFonts w:cs="Arial"/>
        </w:rPr>
        <w:t>Strengthen community based organizations; Train staff and partners on mainstreaming social cohesion into livelihood activities</w:t>
      </w:r>
      <w:r w:rsidRPr="00211D01">
        <w:rPr>
          <w:rFonts w:ascii="Calibri" w:hAnsi="Calibri"/>
          <w:bCs/>
        </w:rPr>
        <w:t xml:space="preserve">; </w:t>
      </w:r>
      <w:r w:rsidRPr="00211D01">
        <w:rPr>
          <w:rFonts w:cs="Arial"/>
        </w:rPr>
        <w:t>Train livelihood extension service-providers</w:t>
      </w:r>
      <w:r w:rsidRPr="00211D01">
        <w:rPr>
          <w:rFonts w:ascii="Calibri" w:hAnsi="Calibri"/>
          <w:bCs/>
        </w:rPr>
        <w:t xml:space="preserve">; </w:t>
      </w:r>
      <w:r w:rsidRPr="00211D01">
        <w:rPr>
          <w:rFonts w:cs="Arial"/>
        </w:rPr>
        <w:t>Train staff and partners on social cohesion, livelihood service-</w:t>
      </w:r>
      <w:r w:rsidRPr="00211D01">
        <w:rPr>
          <w:rFonts w:cs="Arial"/>
        </w:rPr>
        <w:lastRenderedPageBreak/>
        <w:t>delivery, cross-cutting issues like gender and DDR, good governance, organizational management, transparency, financial management etc; Provide inputs, assets and equipment to recover livelihoods or enterprises</w:t>
      </w:r>
      <w:r w:rsidRPr="00211D01">
        <w:rPr>
          <w:rFonts w:ascii="Calibri" w:hAnsi="Calibri"/>
          <w:bCs/>
        </w:rPr>
        <w:t>;</w:t>
      </w:r>
    </w:p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</w:pPr>
    </w:p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  <w:sectPr w:rsidR="00D1410C" w:rsidRPr="00211D01" w:rsidSect="007655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1548"/>
        <w:gridCol w:w="1659"/>
        <w:gridCol w:w="1377"/>
        <w:gridCol w:w="3061"/>
        <w:gridCol w:w="1350"/>
        <w:gridCol w:w="1890"/>
        <w:gridCol w:w="2250"/>
      </w:tblGrid>
      <w:tr w:rsidR="00D1410C" w:rsidRPr="00211D01" w:rsidTr="00944435">
        <w:trPr>
          <w:trHeight w:val="438"/>
        </w:trPr>
        <w:tc>
          <w:tcPr>
            <w:tcW w:w="1548" w:type="dxa"/>
            <w:vMerge w:val="restart"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lastRenderedPageBreak/>
              <w:t>Quality Criteria</w:t>
            </w:r>
          </w:p>
        </w:tc>
        <w:tc>
          <w:tcPr>
            <w:tcW w:w="1659" w:type="dxa"/>
            <w:vMerge w:val="restart"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Method</w:t>
            </w:r>
          </w:p>
        </w:tc>
        <w:tc>
          <w:tcPr>
            <w:tcW w:w="1377" w:type="dxa"/>
            <w:vMerge w:val="restart"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Assessment Due Date</w:t>
            </w:r>
          </w:p>
        </w:tc>
        <w:tc>
          <w:tcPr>
            <w:tcW w:w="3061" w:type="dxa"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User Perspective</w:t>
            </w:r>
          </w:p>
        </w:tc>
        <w:tc>
          <w:tcPr>
            <w:tcW w:w="1350" w:type="dxa"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Timelines</w:t>
            </w:r>
          </w:p>
        </w:tc>
        <w:tc>
          <w:tcPr>
            <w:tcW w:w="1890" w:type="dxa"/>
            <w:vMerge w:val="restart"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Resource Usage</w:t>
            </w:r>
          </w:p>
        </w:tc>
        <w:tc>
          <w:tcPr>
            <w:tcW w:w="2250" w:type="dxa"/>
            <w:vMerge w:val="restart"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Gender Perspective</w:t>
            </w:r>
          </w:p>
        </w:tc>
      </w:tr>
      <w:tr w:rsidR="00D1410C" w:rsidRPr="00211D01" w:rsidTr="00944435">
        <w:trPr>
          <w:trHeight w:val="438"/>
        </w:trPr>
        <w:tc>
          <w:tcPr>
            <w:tcW w:w="1548" w:type="dxa"/>
            <w:vMerge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659" w:type="dxa"/>
            <w:vMerge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377" w:type="dxa"/>
            <w:vMerge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411" w:type="dxa"/>
            <w:gridSpan w:val="2"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(Date – Rating: Comments)</w:t>
            </w:r>
          </w:p>
        </w:tc>
        <w:tc>
          <w:tcPr>
            <w:tcW w:w="1890" w:type="dxa"/>
            <w:vMerge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250" w:type="dxa"/>
            <w:vMerge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1410C" w:rsidRPr="00211D01" w:rsidTr="00944435">
        <w:tc>
          <w:tcPr>
            <w:tcW w:w="1548" w:type="dxa"/>
          </w:tcPr>
          <w:p w:rsidR="00D1410C" w:rsidRPr="009C7EC9" w:rsidRDefault="00D1410C" w:rsidP="00437B3F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ascii="Calibri" w:hAnsi="Calibri" w:cs="Calibri"/>
                <w:sz w:val="20"/>
                <w:szCs w:val="20"/>
              </w:rPr>
              <w:t>2.2 Livelihood and Infrastructure</w:t>
            </w:r>
          </w:p>
        </w:tc>
        <w:tc>
          <w:tcPr>
            <w:tcW w:w="1659" w:type="dxa"/>
          </w:tcPr>
          <w:p w:rsidR="00D1410C" w:rsidRPr="009C7EC9" w:rsidRDefault="00D1410C" w:rsidP="00437B3F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>Reports from Area Offices, Reports from Implementing Partners; project monitoring visits (BTORs)</w:t>
            </w:r>
          </w:p>
        </w:tc>
        <w:tc>
          <w:tcPr>
            <w:tcW w:w="1377" w:type="dxa"/>
          </w:tcPr>
          <w:p w:rsidR="00D1410C" w:rsidRPr="009C7EC9" w:rsidRDefault="00596074" w:rsidP="00437B3F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 xml:space="preserve">September </w:t>
            </w:r>
            <w:r w:rsidR="00D1410C" w:rsidRPr="009C7EC9">
              <w:rPr>
                <w:rFonts w:cstheme="minorHAnsi"/>
                <w:sz w:val="20"/>
                <w:szCs w:val="20"/>
              </w:rPr>
              <w:t>2014</w:t>
            </w:r>
          </w:p>
        </w:tc>
        <w:tc>
          <w:tcPr>
            <w:tcW w:w="3061" w:type="dxa"/>
          </w:tcPr>
          <w:p w:rsidR="008E16F1" w:rsidRPr="009C7EC9" w:rsidRDefault="00FD7C5C" w:rsidP="00596074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>On-</w:t>
            </w:r>
            <w:r w:rsidR="003B135C" w:rsidRPr="009C7EC9">
              <w:rPr>
                <w:rFonts w:cstheme="minorHAnsi"/>
                <w:sz w:val="20"/>
                <w:szCs w:val="20"/>
              </w:rPr>
              <w:t>going</w:t>
            </w:r>
            <w:r w:rsidR="00596074" w:rsidRPr="009C7EC9">
              <w:rPr>
                <w:rFonts w:cstheme="minorHAnsi"/>
                <w:sz w:val="20"/>
                <w:szCs w:val="20"/>
              </w:rPr>
              <w:t xml:space="preserve"> infrastructure activities in </w:t>
            </w:r>
            <w:r w:rsidR="003B135C" w:rsidRPr="009C7EC9">
              <w:rPr>
                <w:rFonts w:cstheme="minorHAnsi"/>
                <w:sz w:val="20"/>
                <w:szCs w:val="20"/>
              </w:rPr>
              <w:t xml:space="preserve">Yae Chan Pyin village in Rakhine state </w:t>
            </w:r>
            <w:r w:rsidR="00596074" w:rsidRPr="009C7EC9">
              <w:rPr>
                <w:rFonts w:cstheme="minorHAnsi"/>
                <w:sz w:val="20"/>
                <w:szCs w:val="20"/>
              </w:rPr>
              <w:t>reachin</w:t>
            </w:r>
            <w:r w:rsidR="00130B1B" w:rsidRPr="009C7EC9">
              <w:rPr>
                <w:rFonts w:cstheme="minorHAnsi"/>
                <w:sz w:val="20"/>
                <w:szCs w:val="20"/>
              </w:rPr>
              <w:t>g over 1643 persons of whom 840</w:t>
            </w:r>
            <w:r w:rsidR="00596074" w:rsidRPr="009C7EC9">
              <w:rPr>
                <w:rFonts w:cstheme="minorHAnsi"/>
                <w:sz w:val="20"/>
                <w:szCs w:val="20"/>
              </w:rPr>
              <w:t xml:space="preserve"> are women. </w:t>
            </w:r>
          </w:p>
          <w:p w:rsidR="00130B1B" w:rsidRPr="009C7EC9" w:rsidRDefault="00130B1B" w:rsidP="0059607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1410C" w:rsidRPr="009C7EC9" w:rsidRDefault="00596074" w:rsidP="003B135C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 xml:space="preserve">Rolled-out livelihood and vocational skills training in 179 target villages in 14 townships in Kachin, Kayah, Kayin and Shan. To-date, a total of </w:t>
            </w:r>
            <w:r w:rsidR="003B135C" w:rsidRPr="009C7EC9">
              <w:rPr>
                <w:rFonts w:cstheme="minorHAnsi"/>
                <w:sz w:val="20"/>
                <w:szCs w:val="20"/>
              </w:rPr>
              <w:t>eight</w:t>
            </w:r>
            <w:r w:rsidRPr="009C7EC9">
              <w:rPr>
                <w:rFonts w:cstheme="minorHAnsi"/>
                <w:sz w:val="20"/>
                <w:szCs w:val="20"/>
              </w:rPr>
              <w:t xml:space="preserve"> training sessions have been completed in Kayin, Kayah and Kachin reaching </w:t>
            </w:r>
            <w:r w:rsidR="0094134F" w:rsidRPr="009C7EC9">
              <w:rPr>
                <w:rFonts w:cstheme="minorHAnsi"/>
                <w:sz w:val="20"/>
                <w:szCs w:val="20"/>
              </w:rPr>
              <w:t>464</w:t>
            </w:r>
            <w:r w:rsidR="003B135C" w:rsidRPr="009C7EC9">
              <w:rPr>
                <w:rFonts w:cstheme="minorHAnsi"/>
                <w:sz w:val="20"/>
                <w:szCs w:val="20"/>
              </w:rPr>
              <w:t xml:space="preserve"> beneficiaries </w:t>
            </w:r>
            <w:r w:rsidR="0094134F" w:rsidRPr="009C7EC9">
              <w:rPr>
                <w:rFonts w:cstheme="minorHAnsi"/>
                <w:sz w:val="20"/>
                <w:szCs w:val="20"/>
              </w:rPr>
              <w:t>of which 49.6</w:t>
            </w:r>
            <w:r w:rsidR="003B135C" w:rsidRPr="009C7EC9">
              <w:rPr>
                <w:rFonts w:cstheme="minorHAnsi"/>
                <w:sz w:val="20"/>
                <w:szCs w:val="20"/>
              </w:rPr>
              <w:t>%</w:t>
            </w:r>
            <w:r w:rsidRPr="009C7EC9">
              <w:rPr>
                <w:rFonts w:cstheme="minorHAnsi"/>
                <w:sz w:val="20"/>
                <w:szCs w:val="20"/>
              </w:rPr>
              <w:t xml:space="preserve"> are women. </w:t>
            </w:r>
          </w:p>
        </w:tc>
        <w:tc>
          <w:tcPr>
            <w:tcW w:w="1350" w:type="dxa"/>
          </w:tcPr>
          <w:p w:rsidR="00D1410C" w:rsidRPr="009C7EC9" w:rsidRDefault="00944435" w:rsidP="00437B3F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>On time</w:t>
            </w:r>
          </w:p>
        </w:tc>
        <w:tc>
          <w:tcPr>
            <w:tcW w:w="1890" w:type="dxa"/>
          </w:tcPr>
          <w:p w:rsidR="00D1410C" w:rsidRPr="009C7EC9" w:rsidRDefault="00D1410C" w:rsidP="009C7EC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9C7EC9">
              <w:rPr>
                <w:rFonts w:cstheme="minorHAnsi"/>
                <w:i/>
                <w:sz w:val="20"/>
                <w:szCs w:val="20"/>
              </w:rPr>
              <w:t>-</w:t>
            </w:r>
            <w:r w:rsidR="00CB1647" w:rsidRPr="009C7EC9">
              <w:rPr>
                <w:rFonts w:cstheme="minorHAnsi"/>
                <w:sz w:val="20"/>
                <w:szCs w:val="20"/>
              </w:rPr>
              <w:t xml:space="preserve">Expenditure reflects final tranche payments to </w:t>
            </w:r>
            <w:r w:rsidR="00944435" w:rsidRPr="009C7EC9">
              <w:rPr>
                <w:rFonts w:cstheme="minorHAnsi"/>
                <w:sz w:val="20"/>
                <w:szCs w:val="20"/>
              </w:rPr>
              <w:t xml:space="preserve">some infrastructure </w:t>
            </w:r>
            <w:r w:rsidR="00CB1647" w:rsidRPr="009C7EC9">
              <w:rPr>
                <w:rFonts w:cstheme="minorHAnsi"/>
                <w:sz w:val="20"/>
                <w:szCs w:val="20"/>
              </w:rPr>
              <w:t>IPs</w:t>
            </w:r>
            <w:r w:rsidR="00944435" w:rsidRPr="009C7EC9">
              <w:rPr>
                <w:rFonts w:cstheme="minorHAnsi"/>
                <w:sz w:val="20"/>
                <w:szCs w:val="20"/>
              </w:rPr>
              <w:t>, PCA payments to area offices for vocational training</w:t>
            </w:r>
            <w:r w:rsidR="00CB1647" w:rsidRPr="009C7EC9">
              <w:rPr>
                <w:rFonts w:cstheme="minorHAnsi"/>
                <w:sz w:val="20"/>
                <w:szCs w:val="20"/>
              </w:rPr>
              <w:t xml:space="preserve"> </w:t>
            </w:r>
            <w:r w:rsidR="00944435" w:rsidRPr="009C7EC9">
              <w:rPr>
                <w:rFonts w:cstheme="minorHAnsi"/>
                <w:sz w:val="20"/>
                <w:szCs w:val="20"/>
              </w:rPr>
              <w:t>and MPP proposal disb</w:t>
            </w:r>
            <w:r w:rsidR="009C7EC9" w:rsidRPr="009C7EC9">
              <w:rPr>
                <w:rFonts w:cstheme="minorHAnsi"/>
                <w:sz w:val="20"/>
                <w:szCs w:val="20"/>
              </w:rPr>
              <w:t>ursements to Sittwe area office</w:t>
            </w:r>
          </w:p>
        </w:tc>
        <w:tc>
          <w:tcPr>
            <w:tcW w:w="2250" w:type="dxa"/>
          </w:tcPr>
          <w:p w:rsidR="005B31DE" w:rsidRPr="009C7EC9" w:rsidRDefault="000E02C7" w:rsidP="004F6B2F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>49</w:t>
            </w:r>
            <w:r w:rsidR="0014510E" w:rsidRPr="009C7EC9">
              <w:rPr>
                <w:rFonts w:cstheme="minorHAnsi"/>
                <w:sz w:val="20"/>
                <w:szCs w:val="20"/>
              </w:rPr>
              <w:t>.6</w:t>
            </w:r>
            <w:r w:rsidR="005B31DE" w:rsidRPr="009C7EC9">
              <w:rPr>
                <w:rFonts w:cstheme="minorHAnsi"/>
                <w:sz w:val="20"/>
                <w:szCs w:val="20"/>
              </w:rPr>
              <w:t>% of women received vocational trainings in Kachin, Kayah, Kayin and Shan states.</w:t>
            </w:r>
            <w:r w:rsidRPr="009C7EC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B6FBF" w:rsidRPr="009C7EC9" w:rsidRDefault="007B6FBF" w:rsidP="004F6B2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B6FBF" w:rsidRPr="009C7EC9" w:rsidRDefault="007B6FBF" w:rsidP="004F6B2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B6FBF" w:rsidRPr="009C7EC9" w:rsidRDefault="007B6FBF" w:rsidP="004F6B2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</w:pPr>
    </w:p>
    <w:p w:rsidR="00D1410C" w:rsidRPr="00211D01" w:rsidRDefault="00D1410C" w:rsidP="00D1410C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</w:pPr>
    </w:p>
    <w:p w:rsidR="00F57311" w:rsidRPr="00211D01" w:rsidRDefault="00F57311" w:rsidP="00D95617">
      <w:pPr>
        <w:spacing w:after="0"/>
        <w:jc w:val="both"/>
        <w:rPr>
          <w:rFonts w:cstheme="minorHAnsi"/>
          <w:sz w:val="24"/>
        </w:rPr>
        <w:sectPr w:rsidR="00F57311" w:rsidRPr="00211D01" w:rsidSect="00F5731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95617" w:rsidRPr="00211D01" w:rsidRDefault="00D95617" w:rsidP="00D95617">
      <w:pPr>
        <w:spacing w:after="0"/>
        <w:jc w:val="both"/>
        <w:rPr>
          <w:rFonts w:ascii="Calibri" w:hAnsi="Calibri" w:cs="Calibri"/>
        </w:rPr>
      </w:pPr>
      <w:r w:rsidRPr="00211D01">
        <w:rPr>
          <w:rFonts w:cstheme="minorHAnsi"/>
          <w:sz w:val="24"/>
        </w:rPr>
        <w:lastRenderedPageBreak/>
        <w:t>Activity ID</w:t>
      </w:r>
      <w:r w:rsidRPr="00211D01">
        <w:rPr>
          <w:rFonts w:cstheme="minorHAnsi"/>
        </w:rPr>
        <w:t>:</w:t>
      </w:r>
      <w:r w:rsidRPr="00211D01">
        <w:rPr>
          <w:rFonts w:ascii="Calibri" w:hAnsi="Calibri" w:cs="Calibri"/>
        </w:rPr>
        <w:t xml:space="preserve"> 2.3 Social Cohesion </w:t>
      </w:r>
    </w:p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>Start date: April 2013</w:t>
      </w:r>
    </w:p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End date: December 2014 </w:t>
      </w:r>
    </w:p>
    <w:p w:rsidR="00D95617" w:rsidRPr="00211D01" w:rsidRDefault="00D95617" w:rsidP="00D95617">
      <w:pPr>
        <w:spacing w:after="0"/>
        <w:jc w:val="both"/>
        <w:rPr>
          <w:rFonts w:ascii="Calibri" w:hAnsi="Calibri"/>
          <w:bCs/>
        </w:rPr>
      </w:pPr>
      <w:r w:rsidRPr="00211D01">
        <w:rPr>
          <w:rFonts w:cstheme="minorHAnsi"/>
          <w:sz w:val="24"/>
        </w:rPr>
        <w:t xml:space="preserve">Purpose: </w:t>
      </w:r>
      <w:r w:rsidRPr="00211D01">
        <w:rPr>
          <w:bCs/>
        </w:rPr>
        <w:t>Facilitate and support dialogue and trust-building activities in pilot locations in Rakhine and Kachin state</w:t>
      </w:r>
      <w:r w:rsidRPr="00211D01">
        <w:rPr>
          <w:rFonts w:ascii="Calibri" w:hAnsi="Calibri"/>
          <w:bCs/>
        </w:rPr>
        <w:t xml:space="preserve">; </w:t>
      </w:r>
    </w:p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Description: </w:t>
      </w:r>
    </w:p>
    <w:p w:rsidR="00D95617" w:rsidRPr="00211D01" w:rsidRDefault="00D95617" w:rsidP="00D95617">
      <w:pPr>
        <w:spacing w:after="60" w:line="240" w:lineRule="auto"/>
        <w:jc w:val="both"/>
        <w:rPr>
          <w:rFonts w:ascii="Calibri" w:hAnsi="Calibri"/>
          <w:bCs/>
        </w:rPr>
      </w:pPr>
      <w:r w:rsidRPr="00211D01">
        <w:rPr>
          <w:rFonts w:cs="Arial"/>
        </w:rPr>
        <w:t>Strengthen community level structures and networks for social cohesion; Facilitate/support intra-group and inter-group dialogue, interaction, exchange and exposure activities</w:t>
      </w:r>
    </w:p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</w:pPr>
    </w:p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  <w:sectPr w:rsidR="00D95617" w:rsidRPr="00211D01" w:rsidSect="00F573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</w:pPr>
    </w:p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1548"/>
        <w:gridCol w:w="1659"/>
        <w:gridCol w:w="1377"/>
        <w:gridCol w:w="3511"/>
        <w:gridCol w:w="1800"/>
        <w:gridCol w:w="1350"/>
        <w:gridCol w:w="1800"/>
      </w:tblGrid>
      <w:tr w:rsidR="00D95617" w:rsidRPr="00211D01" w:rsidTr="00B507E1">
        <w:trPr>
          <w:trHeight w:val="438"/>
        </w:trPr>
        <w:tc>
          <w:tcPr>
            <w:tcW w:w="1548" w:type="dxa"/>
            <w:vMerge w:val="restart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Criteria</w:t>
            </w:r>
          </w:p>
        </w:tc>
        <w:tc>
          <w:tcPr>
            <w:tcW w:w="1659" w:type="dxa"/>
            <w:vMerge w:val="restart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Method</w:t>
            </w:r>
          </w:p>
        </w:tc>
        <w:tc>
          <w:tcPr>
            <w:tcW w:w="1377" w:type="dxa"/>
            <w:vMerge w:val="restart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Assessment Due Date</w:t>
            </w:r>
          </w:p>
        </w:tc>
        <w:tc>
          <w:tcPr>
            <w:tcW w:w="3511" w:type="dxa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User Perspective</w:t>
            </w:r>
          </w:p>
        </w:tc>
        <w:tc>
          <w:tcPr>
            <w:tcW w:w="1800" w:type="dxa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Timelines</w:t>
            </w:r>
          </w:p>
        </w:tc>
        <w:tc>
          <w:tcPr>
            <w:tcW w:w="1350" w:type="dxa"/>
            <w:vMerge w:val="restart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Resource Usage</w:t>
            </w:r>
          </w:p>
        </w:tc>
        <w:tc>
          <w:tcPr>
            <w:tcW w:w="1800" w:type="dxa"/>
            <w:vMerge w:val="restart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Gender Perspective</w:t>
            </w:r>
          </w:p>
        </w:tc>
      </w:tr>
      <w:tr w:rsidR="00D95617" w:rsidRPr="00211D01" w:rsidTr="00B507E1">
        <w:trPr>
          <w:trHeight w:val="438"/>
        </w:trPr>
        <w:tc>
          <w:tcPr>
            <w:tcW w:w="1548" w:type="dxa"/>
            <w:vMerge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659" w:type="dxa"/>
            <w:vMerge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377" w:type="dxa"/>
            <w:vMerge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311" w:type="dxa"/>
            <w:gridSpan w:val="2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(Date – Rating: Comments)</w:t>
            </w:r>
          </w:p>
        </w:tc>
        <w:tc>
          <w:tcPr>
            <w:tcW w:w="1350" w:type="dxa"/>
            <w:vMerge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95617" w:rsidRPr="00211D01" w:rsidTr="00B507E1">
        <w:tc>
          <w:tcPr>
            <w:tcW w:w="1548" w:type="dxa"/>
            <w:shd w:val="clear" w:color="auto" w:fill="auto"/>
          </w:tcPr>
          <w:p w:rsidR="00D95617" w:rsidRPr="00211D01" w:rsidRDefault="00D95617" w:rsidP="00437B3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ascii="Calibri" w:hAnsi="Calibri" w:cs="Calibri"/>
              </w:rPr>
              <w:t>2.3 Social Cohesion</w:t>
            </w:r>
          </w:p>
        </w:tc>
        <w:tc>
          <w:tcPr>
            <w:tcW w:w="1659" w:type="dxa"/>
            <w:shd w:val="clear" w:color="auto" w:fill="auto"/>
          </w:tcPr>
          <w:p w:rsidR="00D95617" w:rsidRPr="00211D01" w:rsidRDefault="00063FA4" w:rsidP="00063FA4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>Training Reports,</w:t>
            </w:r>
            <w:r w:rsidR="00D95617" w:rsidRPr="00211D01">
              <w:rPr>
                <w:rFonts w:cstheme="minorHAnsi"/>
                <w:sz w:val="24"/>
              </w:rPr>
              <w:t xml:space="preserve"> Reports from </w:t>
            </w:r>
            <w:r w:rsidRPr="00211D01">
              <w:rPr>
                <w:rFonts w:cstheme="minorHAnsi"/>
                <w:sz w:val="24"/>
              </w:rPr>
              <w:t>P</w:t>
            </w:r>
            <w:r w:rsidR="00D95617" w:rsidRPr="00211D01">
              <w:rPr>
                <w:rFonts w:cstheme="minorHAnsi"/>
                <w:sz w:val="24"/>
              </w:rPr>
              <w:t>roject monitoring visits (BTORs)</w:t>
            </w:r>
          </w:p>
        </w:tc>
        <w:tc>
          <w:tcPr>
            <w:tcW w:w="1377" w:type="dxa"/>
            <w:shd w:val="clear" w:color="auto" w:fill="auto"/>
          </w:tcPr>
          <w:p w:rsidR="00D95617" w:rsidRPr="00211D01" w:rsidRDefault="00782C05" w:rsidP="00437B3F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September </w:t>
            </w:r>
            <w:r w:rsidR="00D95617" w:rsidRPr="00211D01">
              <w:rPr>
                <w:rFonts w:cstheme="minorHAnsi"/>
                <w:sz w:val="24"/>
              </w:rPr>
              <w:t>2014</w:t>
            </w:r>
          </w:p>
        </w:tc>
        <w:tc>
          <w:tcPr>
            <w:tcW w:w="3511" w:type="dxa"/>
          </w:tcPr>
          <w:p w:rsidR="00635BF0" w:rsidRPr="00944435" w:rsidRDefault="00635BF0" w:rsidP="00900EA9">
            <w:pPr>
              <w:jc w:val="both"/>
              <w:rPr>
                <w:rFonts w:ascii="Batang" w:eastAsia="Batang" w:hAnsi="Batang" w:cstheme="minorHAnsi"/>
              </w:rPr>
            </w:pPr>
          </w:p>
        </w:tc>
        <w:tc>
          <w:tcPr>
            <w:tcW w:w="1800" w:type="dxa"/>
          </w:tcPr>
          <w:p w:rsidR="00D95617" w:rsidRPr="00944435" w:rsidRDefault="00D95617" w:rsidP="00437B3F">
            <w:pPr>
              <w:jc w:val="both"/>
              <w:rPr>
                <w:rFonts w:ascii="Batang" w:eastAsia="Batang" w:hAnsi="Batang" w:cstheme="minorHAnsi"/>
                <w:sz w:val="24"/>
              </w:rPr>
            </w:pPr>
          </w:p>
        </w:tc>
        <w:tc>
          <w:tcPr>
            <w:tcW w:w="1350" w:type="dxa"/>
          </w:tcPr>
          <w:p w:rsidR="00D95617" w:rsidRPr="00211D01" w:rsidRDefault="00D95617" w:rsidP="00437B3F">
            <w:pPr>
              <w:jc w:val="both"/>
              <w:rPr>
                <w:rFonts w:cstheme="minorHAnsi"/>
                <w:i/>
                <w:sz w:val="24"/>
              </w:rPr>
            </w:pPr>
          </w:p>
        </w:tc>
        <w:tc>
          <w:tcPr>
            <w:tcW w:w="1800" w:type="dxa"/>
          </w:tcPr>
          <w:p w:rsidR="00D95617" w:rsidRPr="00211D01" w:rsidRDefault="00D95617" w:rsidP="0028294C">
            <w:pPr>
              <w:jc w:val="both"/>
              <w:rPr>
                <w:rFonts w:cstheme="minorHAnsi"/>
                <w:i/>
                <w:sz w:val="24"/>
              </w:rPr>
            </w:pPr>
          </w:p>
        </w:tc>
      </w:tr>
    </w:tbl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</w:pPr>
    </w:p>
    <w:p w:rsidR="00D95617" w:rsidRPr="00211D01" w:rsidRDefault="00D95617" w:rsidP="00D95617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95617" w:rsidRPr="00211D01" w:rsidRDefault="00D95617" w:rsidP="00D95617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1410C" w:rsidRPr="00211D01" w:rsidRDefault="00D1410C" w:rsidP="00D1410C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1410C" w:rsidRPr="00211D01" w:rsidRDefault="00D1410C" w:rsidP="00D1410C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1410C" w:rsidRPr="00211D01" w:rsidRDefault="00D1410C" w:rsidP="00BB5C54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1410C" w:rsidRPr="00211D01" w:rsidRDefault="00D1410C" w:rsidP="00BB5C54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1410C" w:rsidRPr="00211D01" w:rsidRDefault="00D1410C" w:rsidP="00BB5C54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1410C" w:rsidRPr="00211D01" w:rsidRDefault="00D1410C" w:rsidP="00BB5C54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F57311" w:rsidRPr="00211D01" w:rsidRDefault="00F57311" w:rsidP="00D95617">
      <w:pPr>
        <w:spacing w:after="0"/>
        <w:jc w:val="both"/>
        <w:rPr>
          <w:rFonts w:cstheme="minorHAnsi"/>
          <w:sz w:val="24"/>
        </w:rPr>
        <w:sectPr w:rsidR="00F57311" w:rsidRPr="00211D01" w:rsidSect="00F5731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95617" w:rsidRPr="00211D01" w:rsidRDefault="00D95617" w:rsidP="00D95617">
      <w:pPr>
        <w:spacing w:after="0"/>
        <w:jc w:val="both"/>
        <w:rPr>
          <w:rFonts w:ascii="Calibri" w:hAnsi="Calibri" w:cs="Calibri"/>
        </w:rPr>
      </w:pPr>
      <w:r w:rsidRPr="00211D01">
        <w:rPr>
          <w:rFonts w:cstheme="minorHAnsi"/>
          <w:sz w:val="24"/>
        </w:rPr>
        <w:lastRenderedPageBreak/>
        <w:t>Activity ID</w:t>
      </w:r>
      <w:r w:rsidRPr="00211D01">
        <w:rPr>
          <w:rFonts w:cstheme="minorHAnsi"/>
        </w:rPr>
        <w:t>:</w:t>
      </w:r>
      <w:r w:rsidRPr="00211D01">
        <w:rPr>
          <w:rFonts w:ascii="Calibri" w:hAnsi="Calibri" w:cs="Calibri"/>
        </w:rPr>
        <w:t xml:space="preserve"> 3.1 Conflict </w:t>
      </w:r>
      <w:r w:rsidR="00EC5636" w:rsidRPr="00211D01">
        <w:rPr>
          <w:rFonts w:ascii="Calibri" w:hAnsi="Calibri" w:cs="Calibri"/>
        </w:rPr>
        <w:t>Assessment</w:t>
      </w:r>
      <w:r w:rsidRPr="00211D01">
        <w:rPr>
          <w:rFonts w:ascii="Calibri" w:hAnsi="Calibri" w:cs="Calibri"/>
        </w:rPr>
        <w:t xml:space="preserve">  </w:t>
      </w:r>
    </w:p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>Start date: April 2013</w:t>
      </w:r>
    </w:p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End date: December 2014 </w:t>
      </w:r>
    </w:p>
    <w:p w:rsidR="00D95617" w:rsidRPr="00211D01" w:rsidRDefault="00D95617" w:rsidP="00D95617">
      <w:pPr>
        <w:spacing w:after="0"/>
        <w:rPr>
          <w:rFonts w:ascii="Calibri" w:hAnsi="Calibri" w:cs="Arial"/>
          <w:bCs/>
          <w:sz w:val="20"/>
          <w:szCs w:val="20"/>
          <w:lang w:eastAsia="zh-CN"/>
        </w:rPr>
      </w:pPr>
      <w:r w:rsidRPr="00211D01">
        <w:rPr>
          <w:rFonts w:cstheme="minorHAnsi"/>
          <w:sz w:val="24"/>
        </w:rPr>
        <w:t xml:space="preserve">Purpose: </w:t>
      </w:r>
      <w:r w:rsidRPr="00211D01">
        <w:rPr>
          <w:rFonts w:ascii="Calibri" w:hAnsi="Calibri" w:cs="Arial"/>
          <w:bCs/>
          <w:sz w:val="20"/>
          <w:szCs w:val="20"/>
          <w:lang w:eastAsia="zh-CN"/>
        </w:rPr>
        <w:t>Facilitate and support analysis and assessments on social cohesion and peace-building at national and local level.</w:t>
      </w:r>
    </w:p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Description: </w:t>
      </w:r>
    </w:p>
    <w:p w:rsidR="00D95617" w:rsidRPr="00211D01" w:rsidRDefault="00D95617" w:rsidP="00D95617">
      <w:pPr>
        <w:adjustRightInd w:val="0"/>
        <w:snapToGrid w:val="0"/>
        <w:spacing w:after="60" w:line="240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211D01">
        <w:rPr>
          <w:rFonts w:ascii="Calibri" w:hAnsi="Calibri" w:cs="Arial"/>
          <w:sz w:val="20"/>
          <w:szCs w:val="20"/>
        </w:rPr>
        <w:t>Support social cohesion and conflict assessment and analysis activities Joint indicator/sc index). Develop and share knowledge, findings, lessons learnt and best practices with stakeholders.</w:t>
      </w:r>
    </w:p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</w:pPr>
    </w:p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  <w:sectPr w:rsidR="00D95617" w:rsidRPr="00211D01" w:rsidSect="00F573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</w:pP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548"/>
        <w:gridCol w:w="2317"/>
        <w:gridCol w:w="1980"/>
        <w:gridCol w:w="1620"/>
        <w:gridCol w:w="1890"/>
        <w:gridCol w:w="1980"/>
        <w:gridCol w:w="1890"/>
      </w:tblGrid>
      <w:tr w:rsidR="00D95617" w:rsidRPr="00211D01" w:rsidTr="00C20342">
        <w:trPr>
          <w:trHeight w:val="438"/>
        </w:trPr>
        <w:tc>
          <w:tcPr>
            <w:tcW w:w="1548" w:type="dxa"/>
            <w:vMerge w:val="restart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Criteria</w:t>
            </w:r>
          </w:p>
        </w:tc>
        <w:tc>
          <w:tcPr>
            <w:tcW w:w="2317" w:type="dxa"/>
            <w:vMerge w:val="restart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Method</w:t>
            </w:r>
          </w:p>
        </w:tc>
        <w:tc>
          <w:tcPr>
            <w:tcW w:w="1980" w:type="dxa"/>
            <w:vMerge w:val="restart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Assessment Due Date</w:t>
            </w:r>
          </w:p>
        </w:tc>
        <w:tc>
          <w:tcPr>
            <w:tcW w:w="1620" w:type="dxa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User Perspective</w:t>
            </w:r>
          </w:p>
        </w:tc>
        <w:tc>
          <w:tcPr>
            <w:tcW w:w="1890" w:type="dxa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Timelines</w:t>
            </w:r>
          </w:p>
        </w:tc>
        <w:tc>
          <w:tcPr>
            <w:tcW w:w="1980" w:type="dxa"/>
            <w:vMerge w:val="restart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Resource Usage</w:t>
            </w:r>
          </w:p>
        </w:tc>
        <w:tc>
          <w:tcPr>
            <w:tcW w:w="1890" w:type="dxa"/>
            <w:vMerge w:val="restart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Gender Perspective</w:t>
            </w:r>
          </w:p>
        </w:tc>
      </w:tr>
      <w:tr w:rsidR="00D95617" w:rsidRPr="00211D01" w:rsidTr="00C20342">
        <w:trPr>
          <w:trHeight w:val="438"/>
        </w:trPr>
        <w:tc>
          <w:tcPr>
            <w:tcW w:w="1548" w:type="dxa"/>
            <w:vMerge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317" w:type="dxa"/>
            <w:vMerge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(Date – Rating: Comments)</w:t>
            </w:r>
          </w:p>
        </w:tc>
        <w:tc>
          <w:tcPr>
            <w:tcW w:w="1980" w:type="dxa"/>
            <w:vMerge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95617" w:rsidRPr="00211D01" w:rsidTr="00C20342">
        <w:tc>
          <w:tcPr>
            <w:tcW w:w="1548" w:type="dxa"/>
          </w:tcPr>
          <w:p w:rsidR="00D95617" w:rsidRPr="009C7EC9" w:rsidRDefault="00D95617" w:rsidP="00437B3F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="Calibri"/>
                <w:sz w:val="20"/>
                <w:szCs w:val="20"/>
              </w:rPr>
              <w:t>3.1 Conflict Asses</w:t>
            </w:r>
            <w:r w:rsidR="00C20342" w:rsidRPr="009C7EC9">
              <w:rPr>
                <w:rFonts w:cs="Calibri"/>
                <w:sz w:val="20"/>
                <w:szCs w:val="20"/>
              </w:rPr>
              <w:t>s</w:t>
            </w:r>
            <w:r w:rsidRPr="009C7EC9">
              <w:rPr>
                <w:rFonts w:cs="Calibri"/>
                <w:sz w:val="20"/>
                <w:szCs w:val="20"/>
              </w:rPr>
              <w:t xml:space="preserve">ment  </w:t>
            </w:r>
          </w:p>
        </w:tc>
        <w:tc>
          <w:tcPr>
            <w:tcW w:w="2317" w:type="dxa"/>
          </w:tcPr>
          <w:p w:rsidR="00D95617" w:rsidRPr="009C7EC9" w:rsidRDefault="00D95617" w:rsidP="00437B3F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>Reports from Field Implementation Unit, Reports from Area Offices, Reports from Implementing Partners; project monitoring visits (BTORs)</w:t>
            </w:r>
          </w:p>
        </w:tc>
        <w:tc>
          <w:tcPr>
            <w:tcW w:w="1980" w:type="dxa"/>
          </w:tcPr>
          <w:p w:rsidR="00D95617" w:rsidRPr="009C7EC9" w:rsidRDefault="00D95617" w:rsidP="00437B3F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>April 2014</w:t>
            </w:r>
          </w:p>
        </w:tc>
        <w:tc>
          <w:tcPr>
            <w:tcW w:w="1620" w:type="dxa"/>
          </w:tcPr>
          <w:p w:rsidR="009C7EC9" w:rsidRPr="009C7EC9" w:rsidRDefault="009C7EC9" w:rsidP="009C7EC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95617" w:rsidRPr="009C7EC9" w:rsidRDefault="009C7EC9" w:rsidP="009C7E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>-</w:t>
            </w:r>
            <w:r w:rsidRPr="009C7EC9">
              <w:rPr>
                <w:rFonts w:cstheme="minorHAnsi"/>
                <w:color w:val="4F81BD" w:themeColor="accent1"/>
                <w:sz w:val="20"/>
                <w:szCs w:val="20"/>
              </w:rPr>
              <w:t xml:space="preserve"> </w:t>
            </w:r>
            <w:r w:rsidRPr="009C7EC9">
              <w:rPr>
                <w:rFonts w:cstheme="minorHAnsi"/>
                <w:sz w:val="20"/>
                <w:szCs w:val="20"/>
              </w:rPr>
              <w:t>The output completed in-country assessment to support for women’s leadership and participation in social cohesion and peacebuilding through South-South and Triangular Cooperation in Mon and K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9C7EC9">
              <w:rPr>
                <w:rFonts w:cstheme="minorHAnsi"/>
                <w:sz w:val="20"/>
                <w:szCs w:val="20"/>
              </w:rPr>
              <w:t>yin States.</w:t>
            </w:r>
            <w:r w:rsidRPr="009C7EC9">
              <w:rPr>
                <w:rFonts w:cstheme="minorHAnsi"/>
                <w:color w:val="4F81BD" w:themeColor="accent1"/>
                <w:sz w:val="20"/>
                <w:szCs w:val="20"/>
              </w:rPr>
              <w:t xml:space="preserve">  </w:t>
            </w:r>
          </w:p>
        </w:tc>
        <w:tc>
          <w:tcPr>
            <w:tcW w:w="1890" w:type="dxa"/>
          </w:tcPr>
          <w:p w:rsidR="00D95617" w:rsidRPr="009C7EC9" w:rsidRDefault="00D95617" w:rsidP="00437B3F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D95617" w:rsidRPr="009C7EC9" w:rsidRDefault="00D95617" w:rsidP="00437B3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9C7EC9">
              <w:rPr>
                <w:rFonts w:cstheme="minorHAnsi"/>
                <w:i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D95617" w:rsidRPr="009C7EC9" w:rsidRDefault="009C7EC9" w:rsidP="00437B3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Focus of assessment on women</w:t>
            </w:r>
          </w:p>
        </w:tc>
      </w:tr>
    </w:tbl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</w:pPr>
    </w:p>
    <w:p w:rsidR="00D95617" w:rsidRPr="00211D01" w:rsidRDefault="00D95617" w:rsidP="00D95617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95617" w:rsidRPr="00211D01" w:rsidRDefault="00D95617" w:rsidP="00D95617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95617" w:rsidRPr="00211D01" w:rsidRDefault="00D95617" w:rsidP="00D95617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95617" w:rsidRPr="00211D01" w:rsidRDefault="00D95617" w:rsidP="00D95617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95617" w:rsidRPr="00211D01" w:rsidRDefault="00D95617" w:rsidP="00D95617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95617" w:rsidRPr="00211D01" w:rsidRDefault="00D95617" w:rsidP="00D95617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95617" w:rsidRPr="00211D01" w:rsidRDefault="00D95617" w:rsidP="00D95617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95617" w:rsidRPr="00211D01" w:rsidRDefault="00D95617" w:rsidP="00D95617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95617" w:rsidRPr="00211D01" w:rsidRDefault="00D95617" w:rsidP="00D95617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0B02B2" w:rsidRPr="00211D01" w:rsidRDefault="000B02B2" w:rsidP="00D95617">
      <w:pPr>
        <w:spacing w:after="0"/>
        <w:jc w:val="both"/>
        <w:rPr>
          <w:rFonts w:cstheme="minorHAnsi"/>
          <w:sz w:val="24"/>
        </w:rPr>
      </w:pPr>
    </w:p>
    <w:p w:rsidR="000B02B2" w:rsidRPr="00211D01" w:rsidRDefault="000B02B2" w:rsidP="00D95617">
      <w:pPr>
        <w:spacing w:after="0"/>
        <w:jc w:val="both"/>
        <w:rPr>
          <w:rFonts w:cstheme="minorHAnsi"/>
          <w:sz w:val="24"/>
        </w:rPr>
      </w:pPr>
    </w:p>
    <w:p w:rsidR="00F57311" w:rsidRPr="00211D01" w:rsidRDefault="00F57311" w:rsidP="00D95617">
      <w:pPr>
        <w:spacing w:after="0"/>
        <w:jc w:val="both"/>
        <w:rPr>
          <w:rFonts w:cstheme="minorHAnsi"/>
          <w:sz w:val="24"/>
        </w:rPr>
        <w:sectPr w:rsidR="00F57311" w:rsidRPr="00211D01" w:rsidSect="00F5731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95617" w:rsidRPr="00211D01" w:rsidRDefault="00D95617" w:rsidP="00D95617">
      <w:pPr>
        <w:spacing w:after="0"/>
        <w:jc w:val="both"/>
        <w:rPr>
          <w:rFonts w:ascii="Calibri" w:hAnsi="Calibri" w:cs="Calibri"/>
        </w:rPr>
      </w:pPr>
      <w:r w:rsidRPr="00211D01">
        <w:rPr>
          <w:rFonts w:cstheme="minorHAnsi"/>
          <w:sz w:val="24"/>
        </w:rPr>
        <w:lastRenderedPageBreak/>
        <w:t>Activity ID</w:t>
      </w:r>
      <w:r w:rsidRPr="00211D01">
        <w:rPr>
          <w:rFonts w:cstheme="minorHAnsi"/>
        </w:rPr>
        <w:t>:</w:t>
      </w:r>
      <w:r w:rsidRPr="00211D01">
        <w:rPr>
          <w:rFonts w:ascii="Calibri" w:hAnsi="Calibri" w:cs="Calibri"/>
        </w:rPr>
        <w:t xml:space="preserve"> 3.2 Capacity Development  </w:t>
      </w:r>
    </w:p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>Start date: April 2013</w:t>
      </w:r>
    </w:p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End date: December 2014 </w:t>
      </w:r>
    </w:p>
    <w:p w:rsidR="00D95617" w:rsidRPr="00211D01" w:rsidRDefault="00D95617" w:rsidP="00D95617">
      <w:pPr>
        <w:spacing w:after="0" w:line="240" w:lineRule="auto"/>
        <w:rPr>
          <w:rFonts w:ascii="Calibri" w:hAnsi="Calibri" w:cs="Arial"/>
          <w:bCs/>
          <w:sz w:val="20"/>
          <w:szCs w:val="20"/>
          <w:lang w:eastAsia="zh-CN"/>
        </w:rPr>
      </w:pPr>
      <w:r w:rsidRPr="00211D01">
        <w:rPr>
          <w:rFonts w:cstheme="minorHAnsi"/>
          <w:sz w:val="24"/>
        </w:rPr>
        <w:t xml:space="preserve">Purpose: </w:t>
      </w:r>
      <w:r w:rsidRPr="00211D01">
        <w:rPr>
          <w:rFonts w:ascii="Calibri" w:hAnsi="Calibri" w:cs="Arial"/>
          <w:bCs/>
          <w:sz w:val="20"/>
          <w:szCs w:val="20"/>
          <w:lang w:eastAsia="zh-CN"/>
        </w:rPr>
        <w:t>Undertake capacity-strengthening and training activities for national and local institutions, actors and partners on conflict sensitivity, social cohesion and peace-building, particularly targeting civil society organizations (CSOs), academia, media organizations, women’s networks and youth networks</w:t>
      </w:r>
    </w:p>
    <w:p w:rsidR="00D95617" w:rsidRPr="00211D01" w:rsidRDefault="00D95617" w:rsidP="00D95617">
      <w:pPr>
        <w:spacing w:after="0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Description: </w:t>
      </w:r>
    </w:p>
    <w:p w:rsidR="00D95617" w:rsidRPr="00211D01" w:rsidRDefault="00D95617" w:rsidP="00D95617">
      <w:pPr>
        <w:adjustRightInd w:val="0"/>
        <w:snapToGrid w:val="0"/>
        <w:spacing w:after="60" w:line="240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211D01">
        <w:rPr>
          <w:rFonts w:ascii="Calibri" w:hAnsi="Calibri" w:cs="Arial"/>
          <w:sz w:val="20"/>
          <w:szCs w:val="20"/>
        </w:rPr>
        <w:t xml:space="preserve">Design and roll-out training on conflict sensitivity and social cohesion for staff, partners, government institutions, CSOs, educational institutions, youth networks, women’s networks. </w:t>
      </w:r>
    </w:p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</w:pPr>
    </w:p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  <w:sectPr w:rsidR="00D95617" w:rsidRPr="00211D01" w:rsidSect="00F573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</w:pPr>
    </w:p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1548"/>
        <w:gridCol w:w="1659"/>
        <w:gridCol w:w="1558"/>
        <w:gridCol w:w="3150"/>
        <w:gridCol w:w="1530"/>
        <w:gridCol w:w="1800"/>
        <w:gridCol w:w="1800"/>
      </w:tblGrid>
      <w:tr w:rsidR="00D95617" w:rsidRPr="00211D01" w:rsidTr="00C20342">
        <w:trPr>
          <w:trHeight w:val="438"/>
        </w:trPr>
        <w:tc>
          <w:tcPr>
            <w:tcW w:w="1548" w:type="dxa"/>
            <w:vMerge w:val="restart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Criteria</w:t>
            </w:r>
          </w:p>
        </w:tc>
        <w:tc>
          <w:tcPr>
            <w:tcW w:w="1659" w:type="dxa"/>
            <w:vMerge w:val="restart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Method</w:t>
            </w:r>
          </w:p>
        </w:tc>
        <w:tc>
          <w:tcPr>
            <w:tcW w:w="1558" w:type="dxa"/>
            <w:vMerge w:val="restart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Assessment Due Date</w:t>
            </w:r>
          </w:p>
        </w:tc>
        <w:tc>
          <w:tcPr>
            <w:tcW w:w="3150" w:type="dxa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User Perspective</w:t>
            </w:r>
          </w:p>
        </w:tc>
        <w:tc>
          <w:tcPr>
            <w:tcW w:w="1530" w:type="dxa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Timelines</w:t>
            </w:r>
          </w:p>
        </w:tc>
        <w:tc>
          <w:tcPr>
            <w:tcW w:w="1800" w:type="dxa"/>
            <w:vMerge w:val="restart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Resource Usage</w:t>
            </w:r>
          </w:p>
        </w:tc>
        <w:tc>
          <w:tcPr>
            <w:tcW w:w="1800" w:type="dxa"/>
            <w:vMerge w:val="restart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Gender Perspective</w:t>
            </w:r>
          </w:p>
        </w:tc>
      </w:tr>
      <w:tr w:rsidR="00D95617" w:rsidRPr="00211D01" w:rsidTr="00C20342">
        <w:trPr>
          <w:trHeight w:val="438"/>
        </w:trPr>
        <w:tc>
          <w:tcPr>
            <w:tcW w:w="1548" w:type="dxa"/>
            <w:vMerge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659" w:type="dxa"/>
            <w:vMerge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558" w:type="dxa"/>
            <w:vMerge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(Date – Rating: Comments)</w:t>
            </w:r>
          </w:p>
        </w:tc>
        <w:tc>
          <w:tcPr>
            <w:tcW w:w="1800" w:type="dxa"/>
            <w:vMerge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95617" w:rsidRPr="00211D01" w:rsidTr="00C20342">
        <w:tc>
          <w:tcPr>
            <w:tcW w:w="1548" w:type="dxa"/>
          </w:tcPr>
          <w:p w:rsidR="00D95617" w:rsidRPr="009C7EC9" w:rsidRDefault="00D95617" w:rsidP="00437B3F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ascii="Calibri" w:hAnsi="Calibri" w:cs="Calibri"/>
                <w:sz w:val="20"/>
                <w:szCs w:val="20"/>
              </w:rPr>
              <w:t xml:space="preserve">3.2 Capacity Development  </w:t>
            </w:r>
          </w:p>
        </w:tc>
        <w:tc>
          <w:tcPr>
            <w:tcW w:w="1659" w:type="dxa"/>
          </w:tcPr>
          <w:p w:rsidR="00D95617" w:rsidRPr="009C7EC9" w:rsidRDefault="00D95617" w:rsidP="00437B3F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>Reports from Field Implementation Unit, Reports from Area Offices, Reports from Implementing Partners; project monitoring visits (BTORs)</w:t>
            </w:r>
          </w:p>
        </w:tc>
        <w:tc>
          <w:tcPr>
            <w:tcW w:w="1558" w:type="dxa"/>
          </w:tcPr>
          <w:p w:rsidR="00D95617" w:rsidRPr="009C7EC9" w:rsidRDefault="00D95617" w:rsidP="00437B3F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>April 2014</w:t>
            </w:r>
          </w:p>
        </w:tc>
        <w:tc>
          <w:tcPr>
            <w:tcW w:w="3150" w:type="dxa"/>
          </w:tcPr>
          <w:p w:rsidR="009C7EC9" w:rsidRDefault="00EC5636" w:rsidP="009C7E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ascii="Myriad Pro" w:hAnsi="Myriad Pro" w:cstheme="minorHAnsi"/>
                <w:sz w:val="20"/>
                <w:szCs w:val="20"/>
              </w:rPr>
              <w:t>-</w:t>
            </w:r>
            <w:r w:rsidR="009C7EC9">
              <w:rPr>
                <w:rFonts w:cstheme="minorHAnsi"/>
                <w:sz w:val="20"/>
                <w:szCs w:val="20"/>
              </w:rPr>
              <w:t xml:space="preserve"> The Output rolled-out </w:t>
            </w:r>
            <w:r w:rsidR="0028294C" w:rsidRPr="009C7EC9">
              <w:rPr>
                <w:rFonts w:cstheme="minorHAnsi"/>
                <w:sz w:val="20"/>
                <w:szCs w:val="20"/>
              </w:rPr>
              <w:t>Dialo</w:t>
            </w:r>
            <w:r w:rsidR="00E40752" w:rsidRPr="009C7EC9">
              <w:rPr>
                <w:rFonts w:cstheme="minorHAnsi"/>
                <w:sz w:val="20"/>
                <w:szCs w:val="20"/>
              </w:rPr>
              <w:t xml:space="preserve">gue training for </w:t>
            </w:r>
            <w:r w:rsidR="009C7EC9">
              <w:rPr>
                <w:rFonts w:cstheme="minorHAnsi"/>
                <w:sz w:val="20"/>
                <w:szCs w:val="20"/>
              </w:rPr>
              <w:t xml:space="preserve">officials of </w:t>
            </w:r>
            <w:r w:rsidR="00E40752" w:rsidRPr="009C7EC9">
              <w:rPr>
                <w:rFonts w:cstheme="minorHAnsi"/>
                <w:sz w:val="20"/>
                <w:szCs w:val="20"/>
              </w:rPr>
              <w:t>GAD, the Myanmar Police Force</w:t>
            </w:r>
            <w:r w:rsidR="009C7EC9">
              <w:rPr>
                <w:rFonts w:cstheme="minorHAnsi"/>
                <w:sz w:val="20"/>
                <w:szCs w:val="20"/>
              </w:rPr>
              <w:t>, Ministry of Border Affairs</w:t>
            </w:r>
            <w:r w:rsidR="00E40752" w:rsidRPr="009C7EC9">
              <w:rPr>
                <w:rFonts w:cstheme="minorHAnsi"/>
                <w:sz w:val="20"/>
                <w:szCs w:val="20"/>
              </w:rPr>
              <w:t xml:space="preserve"> and the Union Civil Service Board from </w:t>
            </w:r>
            <w:r w:rsidR="0028294C" w:rsidRPr="009C7EC9">
              <w:rPr>
                <w:rFonts w:cstheme="minorHAnsi"/>
                <w:sz w:val="20"/>
                <w:szCs w:val="20"/>
              </w:rPr>
              <w:t xml:space="preserve">Nay Pyi </w:t>
            </w:r>
            <w:r w:rsidR="0008096F" w:rsidRPr="009C7EC9">
              <w:rPr>
                <w:rFonts w:cstheme="minorHAnsi"/>
                <w:sz w:val="20"/>
                <w:szCs w:val="20"/>
              </w:rPr>
              <w:t>T</w:t>
            </w:r>
            <w:r w:rsidR="00B91B5F" w:rsidRPr="009C7EC9">
              <w:rPr>
                <w:rFonts w:cstheme="minorHAnsi"/>
                <w:sz w:val="20"/>
                <w:szCs w:val="20"/>
              </w:rPr>
              <w:t>aw and Shan states, reaching 60</w:t>
            </w:r>
            <w:r w:rsidR="0028294C" w:rsidRPr="009C7EC9">
              <w:rPr>
                <w:rFonts w:cstheme="minorHAnsi"/>
                <w:sz w:val="20"/>
                <w:szCs w:val="20"/>
              </w:rPr>
              <w:t xml:space="preserve"> participants.</w:t>
            </w:r>
          </w:p>
          <w:p w:rsidR="009C7EC9" w:rsidRDefault="009C7EC9" w:rsidP="009C7EC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20342" w:rsidRPr="009C7EC9" w:rsidRDefault="00C20342" w:rsidP="009C7E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95617" w:rsidRPr="009C7EC9" w:rsidRDefault="00D95617" w:rsidP="00437B3F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95617" w:rsidRPr="009C7EC9" w:rsidRDefault="00D95617" w:rsidP="0008096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9C7EC9">
              <w:rPr>
                <w:rFonts w:cstheme="minorHAnsi"/>
                <w:i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95617" w:rsidRPr="009C7EC9" w:rsidRDefault="00D95617" w:rsidP="00437B3F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theme="minorHAnsi"/>
                <w:i/>
                <w:sz w:val="20"/>
                <w:szCs w:val="20"/>
              </w:rPr>
              <w:t>-</w:t>
            </w:r>
            <w:r w:rsidR="00B91B5F" w:rsidRPr="009C7EC9">
              <w:rPr>
                <w:rFonts w:cstheme="minorHAnsi"/>
                <w:i/>
                <w:sz w:val="20"/>
                <w:szCs w:val="20"/>
              </w:rPr>
              <w:t>36.6</w:t>
            </w:r>
            <w:r w:rsidR="0008096F" w:rsidRPr="009C7EC9">
              <w:rPr>
                <w:rFonts w:cstheme="minorHAnsi"/>
                <w:sz w:val="20"/>
                <w:szCs w:val="20"/>
              </w:rPr>
              <w:t>% women received training on Dialogue training.</w:t>
            </w:r>
          </w:p>
          <w:p w:rsidR="0008096F" w:rsidRPr="009C7EC9" w:rsidRDefault="0008096F" w:rsidP="00437B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8096F" w:rsidRPr="009C7EC9" w:rsidRDefault="0008096F" w:rsidP="00437B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8096F" w:rsidRPr="009C7EC9" w:rsidRDefault="0008096F" w:rsidP="00437B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8096F" w:rsidRPr="009C7EC9" w:rsidRDefault="0008096F" w:rsidP="00437B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8096F" w:rsidRPr="009C7EC9" w:rsidRDefault="006C3D66" w:rsidP="006C3D66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>-</w:t>
            </w:r>
            <w:r w:rsidR="0008096F" w:rsidRPr="009C7EC9">
              <w:rPr>
                <w:rFonts w:cstheme="minorHAnsi"/>
                <w:sz w:val="20"/>
                <w:szCs w:val="20"/>
              </w:rPr>
              <w:t>32% women received training on Social cohesion training.</w:t>
            </w:r>
          </w:p>
        </w:tc>
      </w:tr>
    </w:tbl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</w:pPr>
    </w:p>
    <w:p w:rsidR="00D95617" w:rsidRPr="00211D01" w:rsidRDefault="00D95617" w:rsidP="00D95617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95617" w:rsidRPr="00211D01" w:rsidRDefault="00D95617" w:rsidP="00D95617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95617" w:rsidRPr="00211D01" w:rsidRDefault="00D95617" w:rsidP="00D95617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0B02B2" w:rsidRPr="00211D01" w:rsidRDefault="000B02B2" w:rsidP="000B02B2">
      <w:pPr>
        <w:spacing w:after="0"/>
        <w:jc w:val="both"/>
        <w:rPr>
          <w:rFonts w:cstheme="minorHAnsi"/>
          <w:sz w:val="24"/>
        </w:rPr>
      </w:pPr>
    </w:p>
    <w:p w:rsidR="000B02B2" w:rsidRPr="00211D01" w:rsidRDefault="000B02B2" w:rsidP="000B02B2">
      <w:pPr>
        <w:spacing w:after="0"/>
        <w:jc w:val="both"/>
        <w:rPr>
          <w:rFonts w:cstheme="minorHAnsi"/>
          <w:sz w:val="24"/>
        </w:rPr>
      </w:pPr>
    </w:p>
    <w:p w:rsidR="000B02B2" w:rsidRPr="00211D01" w:rsidRDefault="000B02B2" w:rsidP="000B02B2">
      <w:pPr>
        <w:spacing w:after="0"/>
        <w:jc w:val="both"/>
        <w:rPr>
          <w:rFonts w:cstheme="minorHAnsi"/>
          <w:sz w:val="24"/>
        </w:rPr>
      </w:pPr>
    </w:p>
    <w:p w:rsidR="000B02B2" w:rsidRPr="00211D01" w:rsidRDefault="000B02B2" w:rsidP="000B02B2">
      <w:pPr>
        <w:spacing w:after="0"/>
        <w:jc w:val="both"/>
        <w:rPr>
          <w:rFonts w:cstheme="minorHAnsi"/>
          <w:sz w:val="24"/>
        </w:rPr>
      </w:pPr>
    </w:p>
    <w:p w:rsidR="000B02B2" w:rsidRPr="00211D01" w:rsidRDefault="000B02B2" w:rsidP="000B02B2">
      <w:pPr>
        <w:spacing w:after="0"/>
        <w:jc w:val="both"/>
        <w:rPr>
          <w:rFonts w:cstheme="minorHAnsi"/>
          <w:sz w:val="24"/>
        </w:rPr>
      </w:pPr>
    </w:p>
    <w:p w:rsidR="000B02B2" w:rsidRPr="00211D01" w:rsidRDefault="000B02B2" w:rsidP="000B02B2">
      <w:pPr>
        <w:spacing w:after="0"/>
        <w:jc w:val="both"/>
        <w:rPr>
          <w:rFonts w:cstheme="minorHAnsi"/>
          <w:sz w:val="24"/>
        </w:rPr>
      </w:pPr>
    </w:p>
    <w:p w:rsidR="00F57311" w:rsidRPr="00211D01" w:rsidRDefault="00F57311" w:rsidP="000B02B2">
      <w:pPr>
        <w:spacing w:after="0"/>
        <w:jc w:val="both"/>
        <w:rPr>
          <w:rFonts w:cstheme="minorHAnsi"/>
          <w:sz w:val="24"/>
        </w:rPr>
        <w:sectPr w:rsidR="00F57311" w:rsidRPr="00211D01" w:rsidSect="00F5731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B02B2" w:rsidRPr="00211D01" w:rsidRDefault="000B02B2" w:rsidP="000B02B2">
      <w:pPr>
        <w:spacing w:after="0"/>
        <w:jc w:val="both"/>
        <w:rPr>
          <w:rFonts w:ascii="Calibri" w:hAnsi="Calibri" w:cs="Calibri"/>
        </w:rPr>
      </w:pPr>
      <w:r w:rsidRPr="00211D01">
        <w:rPr>
          <w:rFonts w:cstheme="minorHAnsi"/>
          <w:sz w:val="24"/>
        </w:rPr>
        <w:lastRenderedPageBreak/>
        <w:t>Activity ID</w:t>
      </w:r>
      <w:r w:rsidRPr="00211D01">
        <w:rPr>
          <w:rFonts w:cstheme="minorHAnsi"/>
        </w:rPr>
        <w:t>:</w:t>
      </w:r>
      <w:r w:rsidRPr="00211D01">
        <w:rPr>
          <w:rFonts w:ascii="Calibri" w:hAnsi="Calibri" w:cs="Calibri"/>
        </w:rPr>
        <w:t xml:space="preserve"> </w:t>
      </w:r>
      <w:r w:rsidR="003D22EE" w:rsidRPr="00211D01">
        <w:rPr>
          <w:rFonts w:ascii="Calibri" w:hAnsi="Calibri" w:cs="Calibri"/>
        </w:rPr>
        <w:t>3.2</w:t>
      </w:r>
      <w:r w:rsidRPr="00211D01">
        <w:rPr>
          <w:rFonts w:ascii="Calibri" w:hAnsi="Calibri" w:cs="Calibri"/>
        </w:rPr>
        <w:t xml:space="preserve"> Dev Fund for CSOs  </w:t>
      </w:r>
    </w:p>
    <w:p w:rsidR="000B02B2" w:rsidRPr="00211D01" w:rsidRDefault="000B02B2" w:rsidP="000B02B2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>Start date: April 2013</w:t>
      </w:r>
    </w:p>
    <w:p w:rsidR="000B02B2" w:rsidRPr="00211D01" w:rsidRDefault="000B02B2" w:rsidP="000B02B2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End date: December 2014 </w:t>
      </w:r>
    </w:p>
    <w:p w:rsidR="000B02B2" w:rsidRPr="00211D01" w:rsidRDefault="000B02B2" w:rsidP="000B02B2">
      <w:pPr>
        <w:spacing w:after="0" w:line="240" w:lineRule="auto"/>
        <w:jc w:val="both"/>
        <w:rPr>
          <w:rFonts w:ascii="Calibri" w:hAnsi="Calibri" w:cs="Arial"/>
          <w:bCs/>
          <w:sz w:val="20"/>
          <w:szCs w:val="20"/>
          <w:lang w:eastAsia="zh-CN"/>
        </w:rPr>
      </w:pPr>
      <w:r w:rsidRPr="00211D01">
        <w:rPr>
          <w:rFonts w:cstheme="minorHAnsi"/>
          <w:sz w:val="24"/>
        </w:rPr>
        <w:t xml:space="preserve">Purpose: </w:t>
      </w:r>
      <w:r w:rsidRPr="00211D01">
        <w:rPr>
          <w:rFonts w:ascii="Calibri" w:hAnsi="Calibri" w:cs="Arial"/>
          <w:bCs/>
          <w:sz w:val="20"/>
          <w:szCs w:val="20"/>
          <w:lang w:eastAsia="zh-CN"/>
        </w:rPr>
        <w:t>Facilitate/support national and local institutions, actors and partners to undertake social cohesion and peace-building activities particularly targeting civil society organizations (CSOs), academia, media organizations, women’s networks and youth networks</w:t>
      </w:r>
    </w:p>
    <w:p w:rsidR="000B02B2" w:rsidRPr="00211D01" w:rsidRDefault="000B02B2" w:rsidP="000B02B2">
      <w:pPr>
        <w:spacing w:after="0" w:line="240" w:lineRule="auto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Description: </w:t>
      </w:r>
    </w:p>
    <w:p w:rsidR="000B02B2" w:rsidRPr="00211D01" w:rsidRDefault="000B02B2" w:rsidP="000B02B2">
      <w:pPr>
        <w:spacing w:after="0"/>
        <w:jc w:val="both"/>
        <w:rPr>
          <w:rFonts w:cstheme="minorHAnsi"/>
          <w:sz w:val="24"/>
        </w:rPr>
      </w:pPr>
    </w:p>
    <w:p w:rsidR="000B02B2" w:rsidRPr="00211D01" w:rsidRDefault="000B02B2" w:rsidP="000B02B2">
      <w:pPr>
        <w:spacing w:after="0"/>
        <w:jc w:val="both"/>
        <w:rPr>
          <w:rFonts w:cstheme="minorHAnsi"/>
          <w:sz w:val="24"/>
        </w:rPr>
      </w:pPr>
    </w:p>
    <w:p w:rsidR="00E20E4A" w:rsidRPr="00211D01" w:rsidRDefault="00E20E4A" w:rsidP="000B02B2">
      <w:pPr>
        <w:spacing w:after="0"/>
        <w:jc w:val="both"/>
        <w:rPr>
          <w:rFonts w:cstheme="minorHAnsi"/>
          <w:sz w:val="24"/>
        </w:rPr>
      </w:pPr>
    </w:p>
    <w:p w:rsidR="00E20E4A" w:rsidRPr="00211D01" w:rsidRDefault="00E20E4A" w:rsidP="000B02B2">
      <w:pPr>
        <w:spacing w:after="0"/>
        <w:jc w:val="both"/>
        <w:rPr>
          <w:rFonts w:cstheme="minorHAnsi"/>
          <w:sz w:val="24"/>
        </w:rPr>
      </w:pPr>
    </w:p>
    <w:p w:rsidR="00E20E4A" w:rsidRPr="00211D01" w:rsidRDefault="00E20E4A" w:rsidP="000B02B2">
      <w:pPr>
        <w:spacing w:after="0"/>
        <w:jc w:val="both"/>
        <w:rPr>
          <w:rFonts w:cstheme="minorHAnsi"/>
          <w:sz w:val="24"/>
        </w:rPr>
      </w:pPr>
    </w:p>
    <w:p w:rsidR="0096022D" w:rsidRDefault="0096022D" w:rsidP="000B02B2">
      <w:pPr>
        <w:spacing w:after="0"/>
        <w:jc w:val="both"/>
        <w:rPr>
          <w:rFonts w:cstheme="minorHAnsi"/>
          <w:sz w:val="24"/>
        </w:rPr>
        <w:sectPr w:rsidR="0096022D" w:rsidSect="00F573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02B2" w:rsidRPr="00211D01" w:rsidRDefault="000B02B2" w:rsidP="000B02B2">
      <w:pPr>
        <w:spacing w:after="0"/>
        <w:jc w:val="both"/>
        <w:rPr>
          <w:rFonts w:cstheme="minorHAnsi"/>
          <w:sz w:val="24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1548"/>
        <w:gridCol w:w="1659"/>
        <w:gridCol w:w="2098"/>
        <w:gridCol w:w="1800"/>
        <w:gridCol w:w="1800"/>
        <w:gridCol w:w="2160"/>
        <w:gridCol w:w="2070"/>
      </w:tblGrid>
      <w:tr w:rsidR="000B02B2" w:rsidRPr="00211D01" w:rsidTr="0096022D">
        <w:trPr>
          <w:trHeight w:val="438"/>
        </w:trPr>
        <w:tc>
          <w:tcPr>
            <w:tcW w:w="1548" w:type="dxa"/>
            <w:vMerge w:val="restart"/>
            <w:vAlign w:val="center"/>
          </w:tcPr>
          <w:p w:rsidR="000B02B2" w:rsidRPr="00211D01" w:rsidRDefault="000B02B2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Criteria</w:t>
            </w:r>
          </w:p>
        </w:tc>
        <w:tc>
          <w:tcPr>
            <w:tcW w:w="1659" w:type="dxa"/>
            <w:vMerge w:val="restart"/>
            <w:vAlign w:val="center"/>
          </w:tcPr>
          <w:p w:rsidR="000B02B2" w:rsidRPr="00211D01" w:rsidRDefault="000B02B2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Method</w:t>
            </w:r>
          </w:p>
        </w:tc>
        <w:tc>
          <w:tcPr>
            <w:tcW w:w="2098" w:type="dxa"/>
            <w:vMerge w:val="restart"/>
            <w:vAlign w:val="center"/>
          </w:tcPr>
          <w:p w:rsidR="000B02B2" w:rsidRPr="00211D01" w:rsidRDefault="000B02B2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Assessment Due Date</w:t>
            </w:r>
          </w:p>
        </w:tc>
        <w:tc>
          <w:tcPr>
            <w:tcW w:w="1800" w:type="dxa"/>
            <w:vAlign w:val="center"/>
          </w:tcPr>
          <w:p w:rsidR="000B02B2" w:rsidRPr="00211D01" w:rsidRDefault="000B02B2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User Perspective</w:t>
            </w:r>
          </w:p>
        </w:tc>
        <w:tc>
          <w:tcPr>
            <w:tcW w:w="1800" w:type="dxa"/>
            <w:vAlign w:val="center"/>
          </w:tcPr>
          <w:p w:rsidR="000B02B2" w:rsidRPr="00211D01" w:rsidRDefault="000B02B2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Timelines</w:t>
            </w:r>
          </w:p>
        </w:tc>
        <w:tc>
          <w:tcPr>
            <w:tcW w:w="2160" w:type="dxa"/>
            <w:vMerge w:val="restart"/>
            <w:vAlign w:val="center"/>
          </w:tcPr>
          <w:p w:rsidR="000B02B2" w:rsidRPr="00211D01" w:rsidRDefault="000B02B2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Resource Usage</w:t>
            </w:r>
          </w:p>
        </w:tc>
        <w:tc>
          <w:tcPr>
            <w:tcW w:w="2070" w:type="dxa"/>
            <w:vMerge w:val="restart"/>
            <w:vAlign w:val="center"/>
          </w:tcPr>
          <w:p w:rsidR="000B02B2" w:rsidRPr="00211D01" w:rsidRDefault="000B02B2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Gender Perspective</w:t>
            </w:r>
          </w:p>
        </w:tc>
      </w:tr>
      <w:tr w:rsidR="000B02B2" w:rsidRPr="00211D01" w:rsidTr="0096022D">
        <w:trPr>
          <w:trHeight w:val="438"/>
        </w:trPr>
        <w:tc>
          <w:tcPr>
            <w:tcW w:w="1548" w:type="dxa"/>
            <w:vMerge/>
            <w:vAlign w:val="center"/>
          </w:tcPr>
          <w:p w:rsidR="000B02B2" w:rsidRPr="00211D01" w:rsidRDefault="000B02B2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659" w:type="dxa"/>
            <w:vMerge/>
            <w:vAlign w:val="center"/>
          </w:tcPr>
          <w:p w:rsidR="000B02B2" w:rsidRPr="00211D01" w:rsidRDefault="000B02B2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098" w:type="dxa"/>
            <w:vMerge/>
            <w:vAlign w:val="center"/>
          </w:tcPr>
          <w:p w:rsidR="000B02B2" w:rsidRPr="00211D01" w:rsidRDefault="000B02B2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0B02B2" w:rsidRPr="00211D01" w:rsidRDefault="000B02B2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(Date – Rating: Comments)</w:t>
            </w:r>
          </w:p>
        </w:tc>
        <w:tc>
          <w:tcPr>
            <w:tcW w:w="2160" w:type="dxa"/>
            <w:vMerge/>
            <w:vAlign w:val="center"/>
          </w:tcPr>
          <w:p w:rsidR="000B02B2" w:rsidRPr="00211D01" w:rsidRDefault="000B02B2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070" w:type="dxa"/>
            <w:vMerge/>
            <w:vAlign w:val="center"/>
          </w:tcPr>
          <w:p w:rsidR="000B02B2" w:rsidRPr="00211D01" w:rsidRDefault="000B02B2" w:rsidP="00437B3F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0B02B2" w:rsidRPr="00211D01" w:rsidTr="0096022D">
        <w:tc>
          <w:tcPr>
            <w:tcW w:w="1548" w:type="dxa"/>
          </w:tcPr>
          <w:p w:rsidR="000B02B2" w:rsidRPr="009C7EC9" w:rsidRDefault="003D22EE" w:rsidP="00437B3F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ascii="Calibri" w:hAnsi="Calibri" w:cs="Calibri"/>
                <w:sz w:val="20"/>
                <w:szCs w:val="20"/>
              </w:rPr>
              <w:t>3.2</w:t>
            </w:r>
            <w:r w:rsidR="000B02B2" w:rsidRPr="009C7EC9">
              <w:rPr>
                <w:rFonts w:ascii="Calibri" w:hAnsi="Calibri" w:cs="Calibri"/>
                <w:sz w:val="20"/>
                <w:szCs w:val="20"/>
              </w:rPr>
              <w:t xml:space="preserve"> Dev Fund for CSOs  </w:t>
            </w:r>
          </w:p>
        </w:tc>
        <w:tc>
          <w:tcPr>
            <w:tcW w:w="1659" w:type="dxa"/>
          </w:tcPr>
          <w:p w:rsidR="000B02B2" w:rsidRPr="009C7EC9" w:rsidRDefault="000B02B2" w:rsidP="00437B3F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>Reports from Field Implementation Unit, Reports from Area Offices, Reports from Implementing Partners; project monitoring visits (BTORs)</w:t>
            </w:r>
          </w:p>
        </w:tc>
        <w:tc>
          <w:tcPr>
            <w:tcW w:w="2098" w:type="dxa"/>
          </w:tcPr>
          <w:p w:rsidR="000B02B2" w:rsidRPr="009C7EC9" w:rsidRDefault="009C7EC9" w:rsidP="00437B3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December</w:t>
            </w:r>
            <w:r w:rsidR="000B02B2" w:rsidRPr="009C7EC9">
              <w:rPr>
                <w:rFonts w:cstheme="minorHAnsi"/>
                <w:sz w:val="20"/>
                <w:szCs w:val="20"/>
              </w:rPr>
              <w:t xml:space="preserve"> 2014</w:t>
            </w:r>
          </w:p>
        </w:tc>
        <w:tc>
          <w:tcPr>
            <w:tcW w:w="1800" w:type="dxa"/>
          </w:tcPr>
          <w:p w:rsidR="007B16B6" w:rsidRPr="009C7EC9" w:rsidRDefault="009C7EC9" w:rsidP="009C7EC9">
            <w:pPr>
              <w:jc w:val="both"/>
              <w:rPr>
                <w:rStyle w:val="hps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Facilitated </w:t>
            </w:r>
            <w:r w:rsidR="00A40435" w:rsidRPr="009C7EC9">
              <w:rPr>
                <w:rFonts w:cstheme="minorHAnsi"/>
                <w:sz w:val="20"/>
                <w:szCs w:val="20"/>
              </w:rPr>
              <w:t xml:space="preserve">workshop on </w:t>
            </w:r>
          </w:p>
          <w:p w:rsidR="008870EC" w:rsidRPr="009C7EC9" w:rsidRDefault="007B16B6" w:rsidP="008870EC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eastAsia="Times New Roman" w:cs="Arial"/>
                <w:i/>
                <w:sz w:val="20"/>
                <w:szCs w:val="20"/>
              </w:rPr>
              <w:t>Women’s Leadership and Participation in Social Cohesion</w:t>
            </w:r>
            <w:r w:rsidRPr="009C7EC9">
              <w:rPr>
                <w:rFonts w:eastAsia="Times New Roman" w:cs="Arial"/>
                <w:sz w:val="20"/>
                <w:szCs w:val="20"/>
              </w:rPr>
              <w:t xml:space="preserve"> and Peace Building</w:t>
            </w:r>
            <w:r w:rsidR="00A40435" w:rsidRPr="009C7EC9">
              <w:rPr>
                <w:rFonts w:cstheme="minorHAnsi"/>
                <w:sz w:val="20"/>
                <w:szCs w:val="20"/>
              </w:rPr>
              <w:t xml:space="preserve"> </w:t>
            </w:r>
            <w:r w:rsidRPr="009C7EC9">
              <w:rPr>
                <w:rFonts w:cstheme="minorHAnsi"/>
                <w:sz w:val="20"/>
                <w:szCs w:val="20"/>
              </w:rPr>
              <w:t>in Bali, Indonesia.</w:t>
            </w:r>
          </w:p>
        </w:tc>
        <w:tc>
          <w:tcPr>
            <w:tcW w:w="1800" w:type="dxa"/>
          </w:tcPr>
          <w:p w:rsidR="000B02B2" w:rsidRPr="009C7EC9" w:rsidRDefault="00944435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>On time</w:t>
            </w:r>
          </w:p>
        </w:tc>
        <w:tc>
          <w:tcPr>
            <w:tcW w:w="2160" w:type="dxa"/>
          </w:tcPr>
          <w:p w:rsidR="000B02B2" w:rsidRPr="009C7EC9" w:rsidRDefault="000B02B2" w:rsidP="00437B3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9C7EC9">
              <w:rPr>
                <w:rFonts w:cstheme="minorHAnsi"/>
                <w:i/>
                <w:sz w:val="20"/>
                <w:szCs w:val="20"/>
              </w:rPr>
              <w:t>-</w:t>
            </w:r>
          </w:p>
        </w:tc>
        <w:tc>
          <w:tcPr>
            <w:tcW w:w="2070" w:type="dxa"/>
          </w:tcPr>
          <w:p w:rsidR="000B02B2" w:rsidRPr="009C7EC9" w:rsidRDefault="009C7EC9" w:rsidP="009C7EC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Focus of workshop on women</w:t>
            </w:r>
          </w:p>
        </w:tc>
      </w:tr>
    </w:tbl>
    <w:p w:rsidR="000B02B2" w:rsidRPr="00211D01" w:rsidRDefault="000B02B2" w:rsidP="000B02B2">
      <w:pPr>
        <w:spacing w:after="0"/>
        <w:jc w:val="both"/>
        <w:rPr>
          <w:rFonts w:cstheme="minorHAnsi"/>
          <w:sz w:val="24"/>
        </w:rPr>
      </w:pPr>
    </w:p>
    <w:p w:rsidR="000B02B2" w:rsidRPr="00211D01" w:rsidRDefault="000B02B2" w:rsidP="000B02B2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0B02B2" w:rsidRPr="00211D01" w:rsidRDefault="000B02B2" w:rsidP="000B02B2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F57311" w:rsidRPr="00211D01" w:rsidRDefault="00F57311" w:rsidP="00B727C7">
      <w:pPr>
        <w:tabs>
          <w:tab w:val="left" w:pos="146"/>
        </w:tabs>
        <w:spacing w:before="120" w:after="0" w:line="240" w:lineRule="auto"/>
        <w:jc w:val="both"/>
        <w:rPr>
          <w:rFonts w:cstheme="minorHAnsi"/>
          <w:sz w:val="24"/>
        </w:rPr>
      </w:pPr>
    </w:p>
    <w:p w:rsidR="006C1B20" w:rsidRDefault="006C1B20" w:rsidP="00B727C7">
      <w:pPr>
        <w:tabs>
          <w:tab w:val="left" w:pos="146"/>
        </w:tabs>
        <w:spacing w:before="120" w:after="0" w:line="240" w:lineRule="auto"/>
        <w:jc w:val="both"/>
        <w:rPr>
          <w:rFonts w:cstheme="minorHAnsi"/>
          <w:sz w:val="24"/>
        </w:rPr>
        <w:sectPr w:rsidR="006C1B20" w:rsidSect="0096022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44435" w:rsidRPr="005804CE" w:rsidRDefault="00944435" w:rsidP="00944435">
      <w:pPr>
        <w:spacing w:after="0"/>
        <w:jc w:val="both"/>
        <w:rPr>
          <w:rFonts w:ascii="Calibri" w:hAnsi="Calibri" w:cs="Calibri"/>
        </w:rPr>
      </w:pPr>
      <w:r w:rsidRPr="005804CE">
        <w:rPr>
          <w:rFonts w:cstheme="minorHAnsi"/>
          <w:sz w:val="24"/>
        </w:rPr>
        <w:lastRenderedPageBreak/>
        <w:t>Activity ID</w:t>
      </w:r>
      <w:r w:rsidRPr="005804CE">
        <w:rPr>
          <w:rFonts w:cstheme="minorHAnsi"/>
        </w:rPr>
        <w:t>:</w:t>
      </w:r>
      <w:r w:rsidRPr="005804C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3.3</w:t>
      </w:r>
      <w:r w:rsidRPr="005804CE">
        <w:rPr>
          <w:rFonts w:ascii="Calibri" w:hAnsi="Calibri" w:cs="Calibri"/>
        </w:rPr>
        <w:t xml:space="preserve"> Dev Fund for CSOs  </w:t>
      </w:r>
    </w:p>
    <w:p w:rsidR="00944435" w:rsidRPr="005804CE" w:rsidRDefault="00944435" w:rsidP="00944435">
      <w:pPr>
        <w:spacing w:after="0"/>
        <w:jc w:val="both"/>
        <w:rPr>
          <w:rFonts w:cstheme="minorHAnsi"/>
          <w:sz w:val="24"/>
        </w:rPr>
      </w:pPr>
      <w:r w:rsidRPr="005804CE">
        <w:rPr>
          <w:rFonts w:cstheme="minorHAnsi"/>
          <w:sz w:val="24"/>
        </w:rPr>
        <w:t>Start date: April 2013</w:t>
      </w:r>
    </w:p>
    <w:p w:rsidR="00944435" w:rsidRPr="005804CE" w:rsidRDefault="00944435" w:rsidP="00944435">
      <w:pPr>
        <w:spacing w:after="0"/>
        <w:jc w:val="both"/>
        <w:rPr>
          <w:rFonts w:cstheme="minorHAnsi"/>
          <w:sz w:val="24"/>
        </w:rPr>
      </w:pPr>
      <w:r w:rsidRPr="005804CE">
        <w:rPr>
          <w:rFonts w:cstheme="minorHAnsi"/>
          <w:sz w:val="24"/>
        </w:rPr>
        <w:t xml:space="preserve">End date: December 2014 </w:t>
      </w:r>
    </w:p>
    <w:p w:rsidR="00944435" w:rsidRDefault="00944435" w:rsidP="00944435">
      <w:pPr>
        <w:spacing w:after="0" w:line="240" w:lineRule="auto"/>
        <w:jc w:val="both"/>
        <w:rPr>
          <w:rFonts w:ascii="Calibri" w:hAnsi="Calibri" w:cs="Arial"/>
          <w:bCs/>
          <w:sz w:val="20"/>
          <w:szCs w:val="20"/>
          <w:lang w:eastAsia="zh-CN"/>
        </w:rPr>
      </w:pPr>
      <w:r w:rsidRPr="005804CE">
        <w:rPr>
          <w:rFonts w:cstheme="minorHAnsi"/>
          <w:sz w:val="24"/>
        </w:rPr>
        <w:t xml:space="preserve">Purpose: </w:t>
      </w:r>
      <w:r w:rsidRPr="005804CE">
        <w:rPr>
          <w:rFonts w:ascii="Calibri" w:hAnsi="Calibri" w:cs="Arial"/>
          <w:bCs/>
          <w:sz w:val="20"/>
          <w:szCs w:val="20"/>
          <w:lang w:eastAsia="zh-CN"/>
        </w:rPr>
        <w:t>Facilitate/support national and local institutions, actors and partners to undertake social cohesion and peace-building activities particularly targeting civil society organizations (CSOs), academia, media organizations, women’s networks and youth networks</w:t>
      </w:r>
    </w:p>
    <w:p w:rsidR="00944435" w:rsidRDefault="00944435" w:rsidP="00944435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Description: </w:t>
      </w:r>
    </w:p>
    <w:p w:rsidR="00944435" w:rsidRDefault="00944435" w:rsidP="00944435">
      <w:pPr>
        <w:spacing w:after="0"/>
        <w:jc w:val="both"/>
        <w:rPr>
          <w:rFonts w:cstheme="minorHAnsi"/>
          <w:sz w:val="24"/>
        </w:rPr>
      </w:pPr>
    </w:p>
    <w:p w:rsidR="00944435" w:rsidRDefault="00944435" w:rsidP="00944435">
      <w:pPr>
        <w:spacing w:after="0"/>
        <w:jc w:val="both"/>
        <w:rPr>
          <w:rFonts w:cstheme="minorHAnsi"/>
          <w:sz w:val="24"/>
        </w:rPr>
      </w:pPr>
    </w:p>
    <w:p w:rsidR="00944435" w:rsidRDefault="00944435" w:rsidP="00944435">
      <w:pPr>
        <w:spacing w:after="0"/>
        <w:jc w:val="both"/>
        <w:rPr>
          <w:rFonts w:cstheme="minorHAnsi"/>
          <w:sz w:val="24"/>
        </w:rPr>
      </w:pPr>
    </w:p>
    <w:p w:rsidR="00944435" w:rsidRDefault="00944435" w:rsidP="00944435">
      <w:pPr>
        <w:spacing w:after="0"/>
        <w:jc w:val="both"/>
        <w:rPr>
          <w:rFonts w:cstheme="minorHAnsi"/>
          <w:sz w:val="24"/>
        </w:rPr>
      </w:pPr>
    </w:p>
    <w:p w:rsidR="00944435" w:rsidRDefault="00944435" w:rsidP="00944435">
      <w:pPr>
        <w:spacing w:after="0"/>
        <w:jc w:val="both"/>
        <w:rPr>
          <w:rFonts w:cstheme="minorHAnsi"/>
          <w:sz w:val="24"/>
        </w:rPr>
      </w:pPr>
    </w:p>
    <w:p w:rsidR="00944435" w:rsidRDefault="00944435" w:rsidP="00944435">
      <w:pPr>
        <w:spacing w:after="0"/>
        <w:jc w:val="both"/>
        <w:rPr>
          <w:rFonts w:cstheme="minorHAnsi"/>
          <w:sz w:val="24"/>
        </w:rPr>
      </w:pPr>
    </w:p>
    <w:p w:rsidR="00944435" w:rsidRDefault="00944435" w:rsidP="00944435">
      <w:pPr>
        <w:spacing w:after="0"/>
        <w:jc w:val="both"/>
        <w:rPr>
          <w:rFonts w:cstheme="minorHAnsi"/>
          <w:sz w:val="24"/>
        </w:rPr>
      </w:pPr>
    </w:p>
    <w:p w:rsidR="00944435" w:rsidRDefault="00944435" w:rsidP="00944435">
      <w:pPr>
        <w:spacing w:after="0"/>
        <w:jc w:val="both"/>
        <w:rPr>
          <w:rFonts w:cstheme="minorHAnsi"/>
          <w:sz w:val="24"/>
        </w:rPr>
      </w:pPr>
    </w:p>
    <w:p w:rsidR="00944435" w:rsidRDefault="00944435" w:rsidP="00944435">
      <w:pPr>
        <w:spacing w:after="0"/>
        <w:jc w:val="both"/>
        <w:rPr>
          <w:rFonts w:cstheme="minorHAnsi"/>
          <w:sz w:val="24"/>
        </w:rPr>
        <w:sectPr w:rsidR="00944435" w:rsidSect="00F573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4435" w:rsidRDefault="00944435" w:rsidP="00944435">
      <w:pPr>
        <w:spacing w:after="0"/>
        <w:jc w:val="both"/>
        <w:rPr>
          <w:rFonts w:cstheme="minorHAnsi"/>
          <w:sz w:val="24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1548"/>
        <w:gridCol w:w="1659"/>
        <w:gridCol w:w="2098"/>
        <w:gridCol w:w="2160"/>
        <w:gridCol w:w="1530"/>
        <w:gridCol w:w="2070"/>
        <w:gridCol w:w="2070"/>
      </w:tblGrid>
      <w:tr w:rsidR="00944435" w:rsidRPr="00532ECC" w:rsidTr="00944435">
        <w:trPr>
          <w:trHeight w:val="438"/>
        </w:trPr>
        <w:tc>
          <w:tcPr>
            <w:tcW w:w="1548" w:type="dxa"/>
            <w:vMerge w:val="restart"/>
            <w:vAlign w:val="center"/>
          </w:tcPr>
          <w:p w:rsidR="00944435" w:rsidRPr="00532ECC" w:rsidRDefault="00944435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532ECC">
              <w:rPr>
                <w:rFonts w:cstheme="minorHAnsi"/>
                <w:b/>
                <w:sz w:val="24"/>
              </w:rPr>
              <w:t>Quality Criteria</w:t>
            </w:r>
          </w:p>
        </w:tc>
        <w:tc>
          <w:tcPr>
            <w:tcW w:w="1659" w:type="dxa"/>
            <w:vMerge w:val="restart"/>
            <w:vAlign w:val="center"/>
          </w:tcPr>
          <w:p w:rsidR="00944435" w:rsidRPr="00532ECC" w:rsidRDefault="00944435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532ECC">
              <w:rPr>
                <w:rFonts w:cstheme="minorHAnsi"/>
                <w:b/>
                <w:sz w:val="24"/>
              </w:rPr>
              <w:t>Quality Method</w:t>
            </w:r>
          </w:p>
        </w:tc>
        <w:tc>
          <w:tcPr>
            <w:tcW w:w="2098" w:type="dxa"/>
            <w:vMerge w:val="restart"/>
            <w:vAlign w:val="center"/>
          </w:tcPr>
          <w:p w:rsidR="00944435" w:rsidRPr="00532ECC" w:rsidRDefault="00944435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532ECC">
              <w:rPr>
                <w:rFonts w:cstheme="minorHAnsi"/>
                <w:b/>
                <w:sz w:val="24"/>
              </w:rPr>
              <w:t>Quality Assessment Due Date</w:t>
            </w:r>
          </w:p>
        </w:tc>
        <w:tc>
          <w:tcPr>
            <w:tcW w:w="2160" w:type="dxa"/>
            <w:vAlign w:val="center"/>
          </w:tcPr>
          <w:p w:rsidR="00944435" w:rsidRPr="00532ECC" w:rsidRDefault="00944435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532ECC">
              <w:rPr>
                <w:rFonts w:cstheme="minorHAnsi"/>
                <w:b/>
                <w:sz w:val="24"/>
              </w:rPr>
              <w:t>User Perspective</w:t>
            </w:r>
          </w:p>
        </w:tc>
        <w:tc>
          <w:tcPr>
            <w:tcW w:w="1530" w:type="dxa"/>
            <w:vAlign w:val="center"/>
          </w:tcPr>
          <w:p w:rsidR="00944435" w:rsidRPr="00532ECC" w:rsidRDefault="00944435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532ECC">
              <w:rPr>
                <w:rFonts w:cstheme="minorHAnsi"/>
                <w:b/>
                <w:sz w:val="24"/>
              </w:rPr>
              <w:t>Timelines</w:t>
            </w:r>
          </w:p>
        </w:tc>
        <w:tc>
          <w:tcPr>
            <w:tcW w:w="2070" w:type="dxa"/>
            <w:vMerge w:val="restart"/>
            <w:vAlign w:val="center"/>
          </w:tcPr>
          <w:p w:rsidR="00944435" w:rsidRPr="00532ECC" w:rsidRDefault="00944435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532ECC">
              <w:rPr>
                <w:rFonts w:cstheme="minorHAnsi"/>
                <w:b/>
                <w:sz w:val="24"/>
              </w:rPr>
              <w:t>Resource Usage</w:t>
            </w:r>
          </w:p>
        </w:tc>
        <w:tc>
          <w:tcPr>
            <w:tcW w:w="2070" w:type="dxa"/>
            <w:vMerge w:val="restart"/>
            <w:vAlign w:val="center"/>
          </w:tcPr>
          <w:p w:rsidR="00944435" w:rsidRPr="00532ECC" w:rsidRDefault="00944435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532ECC">
              <w:rPr>
                <w:rFonts w:cstheme="minorHAnsi"/>
                <w:b/>
                <w:sz w:val="24"/>
              </w:rPr>
              <w:t>Gender Perspective</w:t>
            </w:r>
          </w:p>
        </w:tc>
      </w:tr>
      <w:tr w:rsidR="00944435" w:rsidTr="00944435">
        <w:trPr>
          <w:trHeight w:val="438"/>
        </w:trPr>
        <w:tc>
          <w:tcPr>
            <w:tcW w:w="1548" w:type="dxa"/>
            <w:vMerge/>
            <w:vAlign w:val="center"/>
          </w:tcPr>
          <w:p w:rsidR="00944435" w:rsidRDefault="00944435" w:rsidP="0094443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659" w:type="dxa"/>
            <w:vMerge/>
            <w:vAlign w:val="center"/>
          </w:tcPr>
          <w:p w:rsidR="00944435" w:rsidRDefault="00944435" w:rsidP="0094443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098" w:type="dxa"/>
            <w:vMerge/>
            <w:vAlign w:val="center"/>
          </w:tcPr>
          <w:p w:rsidR="00944435" w:rsidRDefault="00944435" w:rsidP="0094443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944435" w:rsidRPr="002931C5" w:rsidRDefault="00944435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2931C5">
              <w:rPr>
                <w:rFonts w:cstheme="minorHAnsi"/>
                <w:b/>
                <w:sz w:val="24"/>
              </w:rPr>
              <w:t>(Date – Rating: Comments)</w:t>
            </w:r>
          </w:p>
        </w:tc>
        <w:tc>
          <w:tcPr>
            <w:tcW w:w="2070" w:type="dxa"/>
            <w:vMerge/>
            <w:vAlign w:val="center"/>
          </w:tcPr>
          <w:p w:rsidR="00944435" w:rsidRDefault="00944435" w:rsidP="0094443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070" w:type="dxa"/>
            <w:vMerge/>
            <w:vAlign w:val="center"/>
          </w:tcPr>
          <w:p w:rsidR="00944435" w:rsidRDefault="00944435" w:rsidP="0094443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944435" w:rsidTr="00944435">
        <w:tc>
          <w:tcPr>
            <w:tcW w:w="1548" w:type="dxa"/>
          </w:tcPr>
          <w:p w:rsidR="00944435" w:rsidRPr="009C7EC9" w:rsidRDefault="00944435" w:rsidP="00944435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ascii="Calibri" w:hAnsi="Calibri" w:cs="Calibri"/>
                <w:sz w:val="20"/>
                <w:szCs w:val="20"/>
              </w:rPr>
              <w:t xml:space="preserve">33 Dev Fund for CSOs  </w:t>
            </w:r>
          </w:p>
        </w:tc>
        <w:tc>
          <w:tcPr>
            <w:tcW w:w="1659" w:type="dxa"/>
          </w:tcPr>
          <w:p w:rsidR="00944435" w:rsidRPr="009C7EC9" w:rsidRDefault="00944435" w:rsidP="00944435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>Reports from Field Implementation Unit, Reports from Area Offices, Reports from Implementing Partners; project monitoring visits (BTORs)</w:t>
            </w:r>
          </w:p>
        </w:tc>
        <w:tc>
          <w:tcPr>
            <w:tcW w:w="2098" w:type="dxa"/>
          </w:tcPr>
          <w:p w:rsidR="00944435" w:rsidRPr="009C7EC9" w:rsidRDefault="00944435" w:rsidP="00944435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>September 2014</w:t>
            </w:r>
          </w:p>
        </w:tc>
        <w:tc>
          <w:tcPr>
            <w:tcW w:w="2160" w:type="dxa"/>
          </w:tcPr>
          <w:p w:rsidR="000B7740" w:rsidRPr="009C7EC9" w:rsidRDefault="009C7EC9" w:rsidP="00E40752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 xml:space="preserve">The 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9C7EC9">
              <w:rPr>
                <w:rFonts w:cstheme="minorHAnsi"/>
                <w:sz w:val="20"/>
                <w:szCs w:val="20"/>
              </w:rPr>
              <w:t>utput provided training on Social Cohesion Competencies in Practice in Shan and Kachin States reaching 76 participants from Government Departments, NSAs,</w:t>
            </w:r>
            <w:r>
              <w:rPr>
                <w:rFonts w:cstheme="minorHAnsi"/>
                <w:sz w:val="20"/>
                <w:szCs w:val="20"/>
              </w:rPr>
              <w:t xml:space="preserve"> and CSOs</w:t>
            </w:r>
            <w:r w:rsidRPr="009C7EC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944435" w:rsidRPr="009C7EC9" w:rsidRDefault="00944435" w:rsidP="00944435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 xml:space="preserve">On time </w:t>
            </w:r>
          </w:p>
        </w:tc>
        <w:tc>
          <w:tcPr>
            <w:tcW w:w="2070" w:type="dxa"/>
          </w:tcPr>
          <w:p w:rsidR="00944435" w:rsidRPr="009C7EC9" w:rsidRDefault="00944435" w:rsidP="00944435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 xml:space="preserve">Disbursements reflect contractual payments for international consultants and national facilitators. </w:t>
            </w:r>
          </w:p>
          <w:p w:rsidR="00944435" w:rsidRPr="009C7EC9" w:rsidRDefault="00944435" w:rsidP="0094443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44435" w:rsidRPr="009C7EC9" w:rsidRDefault="00944435" w:rsidP="0094443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944435" w:rsidRPr="009C7EC9" w:rsidRDefault="00B91B5F" w:rsidP="00B91B5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9C7EC9">
              <w:rPr>
                <w:rFonts w:cstheme="minorHAnsi"/>
                <w:i/>
                <w:sz w:val="20"/>
                <w:szCs w:val="20"/>
              </w:rPr>
              <w:t>32% women received strengthening local level social cohesion competencies training.</w:t>
            </w:r>
          </w:p>
        </w:tc>
      </w:tr>
    </w:tbl>
    <w:p w:rsidR="00944435" w:rsidRDefault="00944435" w:rsidP="00944435">
      <w:pPr>
        <w:spacing w:after="0"/>
        <w:jc w:val="both"/>
        <w:rPr>
          <w:rFonts w:cstheme="minorHAnsi"/>
          <w:sz w:val="24"/>
        </w:rPr>
      </w:pPr>
    </w:p>
    <w:p w:rsidR="00944435" w:rsidRDefault="00944435" w:rsidP="00F57311">
      <w:pPr>
        <w:spacing w:after="0"/>
        <w:rPr>
          <w:rFonts w:cstheme="minorHAnsi"/>
          <w:sz w:val="24"/>
        </w:rPr>
      </w:pPr>
    </w:p>
    <w:p w:rsidR="00944435" w:rsidRDefault="00944435" w:rsidP="00F57311">
      <w:pPr>
        <w:spacing w:after="0"/>
        <w:rPr>
          <w:rFonts w:cstheme="minorHAnsi"/>
          <w:sz w:val="24"/>
        </w:rPr>
      </w:pPr>
    </w:p>
    <w:p w:rsidR="00944435" w:rsidRDefault="000B7740" w:rsidP="00F57311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br w:type="textWrapping" w:clear="all"/>
      </w:r>
    </w:p>
    <w:p w:rsidR="000B7740" w:rsidRDefault="000B7740" w:rsidP="00F57311">
      <w:pPr>
        <w:spacing w:after="0"/>
        <w:rPr>
          <w:rFonts w:cstheme="minorHAnsi"/>
        </w:rPr>
      </w:pPr>
    </w:p>
    <w:p w:rsidR="000B7740" w:rsidRDefault="000B7740" w:rsidP="00F57311">
      <w:pPr>
        <w:spacing w:after="0"/>
        <w:rPr>
          <w:rFonts w:cstheme="minorHAnsi"/>
        </w:rPr>
      </w:pPr>
    </w:p>
    <w:p w:rsidR="000B7740" w:rsidRDefault="000B7740" w:rsidP="00F57311">
      <w:pPr>
        <w:spacing w:after="0"/>
        <w:rPr>
          <w:rFonts w:cstheme="minorHAnsi"/>
        </w:rPr>
      </w:pPr>
    </w:p>
    <w:p w:rsidR="000B7740" w:rsidRDefault="000B7740" w:rsidP="00F57311">
      <w:pPr>
        <w:spacing w:after="0"/>
        <w:rPr>
          <w:rFonts w:cstheme="minorHAnsi"/>
        </w:rPr>
      </w:pPr>
    </w:p>
    <w:p w:rsidR="000B7740" w:rsidRDefault="000B7740" w:rsidP="00F57311">
      <w:pPr>
        <w:spacing w:after="0"/>
        <w:rPr>
          <w:rFonts w:cstheme="minorHAnsi"/>
        </w:rPr>
      </w:pPr>
    </w:p>
    <w:p w:rsidR="000B7740" w:rsidRDefault="000B7740" w:rsidP="00F57311">
      <w:pPr>
        <w:spacing w:after="0"/>
        <w:rPr>
          <w:rFonts w:cstheme="minorHAnsi"/>
        </w:rPr>
      </w:pPr>
    </w:p>
    <w:p w:rsidR="000B7740" w:rsidRDefault="000B7740" w:rsidP="00F57311">
      <w:pPr>
        <w:spacing w:after="0"/>
        <w:rPr>
          <w:rFonts w:cstheme="minorHAnsi"/>
        </w:rPr>
      </w:pPr>
    </w:p>
    <w:p w:rsidR="000B7740" w:rsidRDefault="000B7740" w:rsidP="00F57311">
      <w:pPr>
        <w:spacing w:after="0"/>
        <w:rPr>
          <w:rFonts w:cstheme="minorHAnsi"/>
        </w:rPr>
        <w:sectPr w:rsidR="000B7740" w:rsidSect="0094443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57311" w:rsidRPr="000B7740" w:rsidRDefault="00F57311" w:rsidP="00F57311">
      <w:pPr>
        <w:spacing w:after="0"/>
        <w:rPr>
          <w:rFonts w:cstheme="minorHAnsi"/>
        </w:rPr>
      </w:pPr>
      <w:r w:rsidRPr="00211D01">
        <w:rPr>
          <w:rFonts w:cstheme="minorHAnsi"/>
        </w:rPr>
        <w:lastRenderedPageBreak/>
        <w:t>Activity ID:</w:t>
      </w:r>
      <w:r w:rsidR="00365FE2">
        <w:rPr>
          <w:rFonts w:ascii="Calibri" w:hAnsi="Calibri" w:cs="Calibri"/>
        </w:rPr>
        <w:t xml:space="preserve"> 4.1</w:t>
      </w:r>
      <w:r w:rsidRPr="00211D01">
        <w:rPr>
          <w:rFonts w:ascii="Calibri" w:hAnsi="Calibri" w:cs="Calibri"/>
        </w:rPr>
        <w:t xml:space="preserve">: </w:t>
      </w:r>
      <w:r w:rsidR="00437B3F" w:rsidRPr="00211D01">
        <w:rPr>
          <w:rFonts w:ascii="Calibri" w:hAnsi="Calibri" w:cs="Calibri"/>
        </w:rPr>
        <w:t xml:space="preserve">ER </w:t>
      </w:r>
      <w:r w:rsidRPr="00211D01">
        <w:rPr>
          <w:rFonts w:ascii="Calibri" w:hAnsi="Calibri" w:cs="Calibri"/>
        </w:rPr>
        <w:t xml:space="preserve">Coordination  </w:t>
      </w:r>
    </w:p>
    <w:p w:rsidR="00F57311" w:rsidRPr="00211D01" w:rsidRDefault="00F57311" w:rsidP="00F57311">
      <w:pPr>
        <w:spacing w:after="0"/>
        <w:rPr>
          <w:rFonts w:cstheme="minorHAnsi"/>
        </w:rPr>
      </w:pPr>
      <w:r w:rsidRPr="00211D01">
        <w:rPr>
          <w:rFonts w:cstheme="minorHAnsi"/>
        </w:rPr>
        <w:t>Start date: June 2013</w:t>
      </w:r>
    </w:p>
    <w:p w:rsidR="00F57311" w:rsidRPr="00211D01" w:rsidRDefault="00F57311" w:rsidP="00F57311">
      <w:pPr>
        <w:spacing w:after="0"/>
        <w:rPr>
          <w:rFonts w:cstheme="minorHAnsi"/>
        </w:rPr>
      </w:pPr>
      <w:r w:rsidRPr="00211D01">
        <w:rPr>
          <w:rFonts w:cstheme="minorHAnsi"/>
        </w:rPr>
        <w:t xml:space="preserve">End date: December 2014 </w:t>
      </w:r>
    </w:p>
    <w:p w:rsidR="00F57311" w:rsidRPr="00211D01" w:rsidRDefault="00F57311" w:rsidP="00F57311">
      <w:pPr>
        <w:spacing w:after="0" w:line="240" w:lineRule="auto"/>
        <w:jc w:val="both"/>
        <w:rPr>
          <w:rFonts w:ascii="Calibri" w:hAnsi="Calibri" w:cs="Arial"/>
          <w:bCs/>
          <w:lang w:eastAsia="zh-CN"/>
        </w:rPr>
      </w:pPr>
      <w:r w:rsidRPr="00211D01">
        <w:rPr>
          <w:rFonts w:cstheme="minorHAnsi"/>
        </w:rPr>
        <w:t xml:space="preserve">Purpose: </w:t>
      </w:r>
      <w:r w:rsidRPr="00211D01">
        <w:rPr>
          <w:rFonts w:ascii="Calibri" w:hAnsi="Calibri" w:cs="Arial"/>
          <w:bCs/>
          <w:lang w:eastAsia="zh-CN"/>
        </w:rPr>
        <w:t xml:space="preserve">Coordinated </w:t>
      </w:r>
      <w:r w:rsidR="00437B3F" w:rsidRPr="00211D01">
        <w:rPr>
          <w:rFonts w:ascii="Calibri" w:hAnsi="Calibri" w:cs="Arial"/>
          <w:bCs/>
          <w:lang w:eastAsia="zh-CN"/>
        </w:rPr>
        <w:t>early</w:t>
      </w:r>
      <w:r w:rsidRPr="00211D01">
        <w:rPr>
          <w:rFonts w:ascii="Calibri" w:hAnsi="Calibri" w:cs="Arial"/>
          <w:bCs/>
          <w:lang w:eastAsia="zh-CN"/>
        </w:rPr>
        <w:t xml:space="preserve"> recovery approach and response to the humanitarian situation in Rakhine and Kachin</w:t>
      </w:r>
      <w:r w:rsidR="00437B3F" w:rsidRPr="00211D01">
        <w:rPr>
          <w:rFonts w:ascii="Calibri" w:hAnsi="Calibri" w:cs="Arial"/>
          <w:bCs/>
          <w:lang w:eastAsia="zh-CN"/>
        </w:rPr>
        <w:t>.</w:t>
      </w:r>
    </w:p>
    <w:p w:rsidR="00F57311" w:rsidRPr="00211D01" w:rsidRDefault="00F57311" w:rsidP="00F57311">
      <w:pPr>
        <w:spacing w:after="0" w:line="240" w:lineRule="auto"/>
        <w:rPr>
          <w:rFonts w:cstheme="minorHAnsi"/>
        </w:rPr>
      </w:pPr>
      <w:r w:rsidRPr="00211D01">
        <w:rPr>
          <w:rFonts w:cstheme="minorHAnsi"/>
        </w:rPr>
        <w:t xml:space="preserve">Description: </w:t>
      </w:r>
      <w:r w:rsidR="00437B3F" w:rsidRPr="00211D01">
        <w:rPr>
          <w:rFonts w:cstheme="minorHAnsi"/>
        </w:rPr>
        <w:t>Dedicated international expertise to facilitate and roll out ERC in Rakhine and Kachin</w:t>
      </w:r>
      <w:r w:rsidRPr="00211D01">
        <w:rPr>
          <w:rFonts w:cstheme="minorHAnsi"/>
        </w:rPr>
        <w:t xml:space="preserve"> </w:t>
      </w:r>
    </w:p>
    <w:p w:rsidR="00437B3F" w:rsidRPr="00211D01" w:rsidRDefault="00437B3F">
      <w:pPr>
        <w:rPr>
          <w:rFonts w:cstheme="minorHAnsi"/>
        </w:rPr>
      </w:pPr>
      <w:r w:rsidRPr="00211D01">
        <w:rPr>
          <w:rFonts w:cstheme="minorHAnsi"/>
        </w:rPr>
        <w:br w:type="page"/>
      </w:r>
    </w:p>
    <w:p w:rsidR="00437B3F" w:rsidRPr="00211D01" w:rsidRDefault="00437B3F" w:rsidP="00F57311">
      <w:pPr>
        <w:spacing w:after="0" w:line="240" w:lineRule="auto"/>
        <w:rPr>
          <w:rFonts w:cstheme="minorHAnsi"/>
        </w:rPr>
        <w:sectPr w:rsidR="00437B3F" w:rsidRPr="00211D01" w:rsidSect="000B77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7B3F" w:rsidRPr="00211D01" w:rsidRDefault="00437B3F" w:rsidP="00F57311">
      <w:pPr>
        <w:spacing w:after="0" w:line="240" w:lineRule="auto"/>
        <w:rPr>
          <w:rFonts w:cstheme="minorHAnsi"/>
        </w:rPr>
      </w:pPr>
    </w:p>
    <w:p w:rsidR="00F57311" w:rsidRPr="00211D01" w:rsidRDefault="00F57311" w:rsidP="00F57311">
      <w:pPr>
        <w:spacing w:after="0"/>
        <w:jc w:val="both"/>
        <w:rPr>
          <w:rFonts w:cstheme="minorHAnsi"/>
        </w:rPr>
      </w:pPr>
    </w:p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1548"/>
        <w:gridCol w:w="1659"/>
        <w:gridCol w:w="1377"/>
        <w:gridCol w:w="1734"/>
        <w:gridCol w:w="1687"/>
        <w:gridCol w:w="1440"/>
        <w:gridCol w:w="1890"/>
        <w:gridCol w:w="1710"/>
      </w:tblGrid>
      <w:tr w:rsidR="00437B3F" w:rsidRPr="00211D01" w:rsidTr="00A0039C">
        <w:trPr>
          <w:trHeight w:val="438"/>
        </w:trPr>
        <w:tc>
          <w:tcPr>
            <w:tcW w:w="1548" w:type="dxa"/>
            <w:vMerge w:val="restart"/>
            <w:vAlign w:val="center"/>
          </w:tcPr>
          <w:p w:rsidR="00437B3F" w:rsidRPr="00211D01" w:rsidRDefault="00437B3F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Criteria</w:t>
            </w:r>
          </w:p>
        </w:tc>
        <w:tc>
          <w:tcPr>
            <w:tcW w:w="1659" w:type="dxa"/>
            <w:vMerge w:val="restart"/>
            <w:vAlign w:val="center"/>
          </w:tcPr>
          <w:p w:rsidR="00437B3F" w:rsidRPr="00211D01" w:rsidRDefault="00437B3F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Method</w:t>
            </w:r>
          </w:p>
        </w:tc>
        <w:tc>
          <w:tcPr>
            <w:tcW w:w="1377" w:type="dxa"/>
            <w:vMerge w:val="restart"/>
            <w:vAlign w:val="center"/>
          </w:tcPr>
          <w:p w:rsidR="00437B3F" w:rsidRPr="00211D01" w:rsidRDefault="00437B3F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Assessment Due Date</w:t>
            </w:r>
          </w:p>
        </w:tc>
        <w:tc>
          <w:tcPr>
            <w:tcW w:w="1734" w:type="dxa"/>
            <w:vAlign w:val="center"/>
          </w:tcPr>
          <w:p w:rsidR="00437B3F" w:rsidRPr="00211D01" w:rsidRDefault="00437B3F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User Perspective</w:t>
            </w:r>
          </w:p>
        </w:tc>
        <w:tc>
          <w:tcPr>
            <w:tcW w:w="3127" w:type="dxa"/>
            <w:gridSpan w:val="2"/>
            <w:vAlign w:val="center"/>
          </w:tcPr>
          <w:p w:rsidR="00437B3F" w:rsidRPr="00211D01" w:rsidRDefault="00437B3F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Timelines</w:t>
            </w:r>
          </w:p>
        </w:tc>
        <w:tc>
          <w:tcPr>
            <w:tcW w:w="1890" w:type="dxa"/>
            <w:vMerge w:val="restart"/>
            <w:vAlign w:val="center"/>
          </w:tcPr>
          <w:p w:rsidR="00437B3F" w:rsidRPr="00211D01" w:rsidRDefault="00437B3F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Resource Usage</w:t>
            </w:r>
          </w:p>
        </w:tc>
        <w:tc>
          <w:tcPr>
            <w:tcW w:w="1710" w:type="dxa"/>
            <w:vMerge w:val="restart"/>
            <w:vAlign w:val="center"/>
          </w:tcPr>
          <w:p w:rsidR="00437B3F" w:rsidRPr="00211D01" w:rsidRDefault="00437B3F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Gender Perspective</w:t>
            </w:r>
          </w:p>
        </w:tc>
      </w:tr>
      <w:tr w:rsidR="00437B3F" w:rsidRPr="00211D01" w:rsidTr="00A0039C">
        <w:trPr>
          <w:trHeight w:val="438"/>
        </w:trPr>
        <w:tc>
          <w:tcPr>
            <w:tcW w:w="1548" w:type="dxa"/>
            <w:vMerge/>
            <w:vAlign w:val="center"/>
          </w:tcPr>
          <w:p w:rsidR="00437B3F" w:rsidRPr="00211D01" w:rsidRDefault="00437B3F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659" w:type="dxa"/>
            <w:vMerge/>
            <w:vAlign w:val="center"/>
          </w:tcPr>
          <w:p w:rsidR="00437B3F" w:rsidRPr="00211D01" w:rsidRDefault="00437B3F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377" w:type="dxa"/>
            <w:vMerge/>
            <w:vAlign w:val="center"/>
          </w:tcPr>
          <w:p w:rsidR="00437B3F" w:rsidRPr="00211D01" w:rsidRDefault="00437B3F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861" w:type="dxa"/>
            <w:gridSpan w:val="3"/>
            <w:vAlign w:val="center"/>
          </w:tcPr>
          <w:p w:rsidR="00437B3F" w:rsidRPr="00211D01" w:rsidRDefault="00437B3F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(Date – Rating: Comments)</w:t>
            </w:r>
          </w:p>
        </w:tc>
        <w:tc>
          <w:tcPr>
            <w:tcW w:w="1890" w:type="dxa"/>
            <w:vMerge/>
            <w:vAlign w:val="center"/>
          </w:tcPr>
          <w:p w:rsidR="00437B3F" w:rsidRPr="00211D01" w:rsidRDefault="00437B3F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437B3F" w:rsidRPr="00211D01" w:rsidRDefault="00437B3F" w:rsidP="00437B3F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A0039C" w:rsidRPr="00211D01" w:rsidTr="00A0039C">
        <w:tc>
          <w:tcPr>
            <w:tcW w:w="1548" w:type="dxa"/>
          </w:tcPr>
          <w:p w:rsidR="00A0039C" w:rsidRPr="009C7EC9" w:rsidRDefault="00365FE2" w:rsidP="00A0039C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ascii="Calibri" w:hAnsi="Calibri" w:cs="Calibri"/>
                <w:b/>
                <w:sz w:val="20"/>
                <w:szCs w:val="20"/>
              </w:rPr>
              <w:t xml:space="preserve">4.1 </w:t>
            </w:r>
            <w:r w:rsidR="00A0039C" w:rsidRPr="009C7EC9">
              <w:rPr>
                <w:rFonts w:ascii="Calibri" w:hAnsi="Calibri" w:cs="Calibri"/>
                <w:sz w:val="20"/>
                <w:szCs w:val="20"/>
              </w:rPr>
              <w:t xml:space="preserve"> ER Coordination  </w:t>
            </w:r>
          </w:p>
        </w:tc>
        <w:tc>
          <w:tcPr>
            <w:tcW w:w="1659" w:type="dxa"/>
          </w:tcPr>
          <w:p w:rsidR="00A0039C" w:rsidRPr="009C7EC9" w:rsidRDefault="00A0039C" w:rsidP="00A0039C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>Minutes of the ERC meetings</w:t>
            </w:r>
          </w:p>
          <w:p w:rsidR="00A0039C" w:rsidRPr="009C7EC9" w:rsidRDefault="00A0039C" w:rsidP="00A0039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0039C" w:rsidRPr="009C7EC9" w:rsidRDefault="00A0039C" w:rsidP="00A0039C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 xml:space="preserve">Early Recovery 4Ws Map </w:t>
            </w:r>
          </w:p>
        </w:tc>
        <w:tc>
          <w:tcPr>
            <w:tcW w:w="1377" w:type="dxa"/>
          </w:tcPr>
          <w:p w:rsidR="00A0039C" w:rsidRPr="009C7EC9" w:rsidRDefault="00A0039C" w:rsidP="00A0039C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>April 2014</w:t>
            </w:r>
          </w:p>
        </w:tc>
        <w:tc>
          <w:tcPr>
            <w:tcW w:w="3421" w:type="dxa"/>
            <w:gridSpan w:val="2"/>
          </w:tcPr>
          <w:p w:rsidR="00E779D7" w:rsidRPr="009C7EC9" w:rsidRDefault="00E779D7" w:rsidP="00E779D7">
            <w:pPr>
              <w:jc w:val="both"/>
              <w:rPr>
                <w:sz w:val="20"/>
                <w:szCs w:val="20"/>
              </w:rPr>
            </w:pPr>
            <w:r w:rsidRPr="009C7EC9">
              <w:rPr>
                <w:sz w:val="20"/>
                <w:szCs w:val="20"/>
              </w:rPr>
              <w:t>- UNDP supported the development of ToRs for the creation of the ER Network which is a key instrument for ER mainstreaming across sectors and clusters</w:t>
            </w:r>
          </w:p>
          <w:p w:rsidR="00A0039C" w:rsidRPr="009C7EC9" w:rsidRDefault="00E779D7" w:rsidP="00E779D7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sz w:val="20"/>
                <w:szCs w:val="20"/>
              </w:rPr>
              <w:t xml:space="preserve">-Draft TORs and </w:t>
            </w:r>
            <w:r w:rsidRPr="009C7EC9">
              <w:rPr>
                <w:rFonts w:ascii="Calibri" w:eastAsia="Times New Roman" w:hAnsi="Calibri" w:cs="Calibri"/>
                <w:sz w:val="20"/>
                <w:szCs w:val="20"/>
              </w:rPr>
              <w:t xml:space="preserve">multi-sectorial HH assessment tool for </w:t>
            </w:r>
            <w:r w:rsidRPr="009C7EC9">
              <w:rPr>
                <w:sz w:val="20"/>
                <w:szCs w:val="20"/>
              </w:rPr>
              <w:t>Early Recover Needs are developed</w:t>
            </w:r>
          </w:p>
          <w:p w:rsidR="00A0039C" w:rsidRPr="009C7EC9" w:rsidRDefault="00A0039C" w:rsidP="00A0039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0039C" w:rsidRPr="009C7EC9" w:rsidRDefault="00A0039C" w:rsidP="00A003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A0039C" w:rsidRPr="009C7EC9" w:rsidRDefault="00A0039C" w:rsidP="00A0039C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A0039C" w:rsidRPr="009C7EC9" w:rsidRDefault="00A0039C" w:rsidP="00A0039C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9C7EC9">
              <w:rPr>
                <w:rFonts w:cstheme="minorHAnsi"/>
                <w:i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A0039C" w:rsidRPr="00211D01" w:rsidRDefault="00A0039C" w:rsidP="00A0039C">
            <w:pPr>
              <w:jc w:val="both"/>
              <w:rPr>
                <w:rFonts w:cstheme="minorHAnsi"/>
                <w:i/>
                <w:sz w:val="24"/>
              </w:rPr>
            </w:pPr>
            <w:r w:rsidRPr="00211D01">
              <w:rPr>
                <w:rFonts w:cstheme="minorHAnsi"/>
                <w:i/>
                <w:sz w:val="24"/>
              </w:rPr>
              <w:t>-</w:t>
            </w:r>
          </w:p>
        </w:tc>
      </w:tr>
    </w:tbl>
    <w:p w:rsidR="00E20E4A" w:rsidRPr="00211D01" w:rsidRDefault="00E20E4A" w:rsidP="000B02B2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</w:rPr>
      </w:pPr>
    </w:p>
    <w:p w:rsidR="00E20E4A" w:rsidRPr="00211D01" w:rsidRDefault="00E20E4A" w:rsidP="000B02B2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437B3F" w:rsidRPr="00211D01" w:rsidRDefault="00437B3F" w:rsidP="000B02B2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437B3F" w:rsidRPr="00211D01" w:rsidRDefault="00437B3F" w:rsidP="000B02B2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437B3F" w:rsidRPr="00211D01" w:rsidRDefault="00437B3F" w:rsidP="000B02B2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437B3F" w:rsidRPr="00211D01" w:rsidRDefault="00437B3F" w:rsidP="000B02B2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437B3F" w:rsidRPr="00211D01" w:rsidRDefault="00437B3F" w:rsidP="001F6185">
      <w:pPr>
        <w:tabs>
          <w:tab w:val="left" w:pos="146"/>
        </w:tabs>
        <w:spacing w:before="120" w:after="0" w:line="240" w:lineRule="auto"/>
        <w:jc w:val="both"/>
        <w:rPr>
          <w:rFonts w:cstheme="minorHAnsi"/>
          <w:sz w:val="24"/>
        </w:rPr>
        <w:sectPr w:rsidR="00437B3F" w:rsidRPr="00211D01" w:rsidSect="00437B3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37B3F" w:rsidRPr="00211D01" w:rsidRDefault="00437B3F" w:rsidP="00437B3F">
      <w:pPr>
        <w:spacing w:after="0"/>
        <w:rPr>
          <w:rFonts w:ascii="Calibri" w:hAnsi="Calibri" w:cs="Calibri"/>
        </w:rPr>
      </w:pPr>
      <w:r w:rsidRPr="00211D01">
        <w:rPr>
          <w:rFonts w:cstheme="minorHAnsi"/>
        </w:rPr>
        <w:lastRenderedPageBreak/>
        <w:t>Activity ID:</w:t>
      </w:r>
      <w:r w:rsidR="00365FE2">
        <w:rPr>
          <w:rFonts w:ascii="Calibri" w:hAnsi="Calibri" w:cs="Calibri"/>
        </w:rPr>
        <w:t xml:space="preserve"> 4.2</w:t>
      </w:r>
      <w:r w:rsidRPr="00211D01">
        <w:rPr>
          <w:rFonts w:ascii="Calibri" w:hAnsi="Calibri" w:cs="Calibri"/>
        </w:rPr>
        <w:t>: ER Planning</w:t>
      </w:r>
    </w:p>
    <w:p w:rsidR="00437B3F" w:rsidRPr="00211D01" w:rsidRDefault="00437B3F" w:rsidP="00437B3F">
      <w:pPr>
        <w:spacing w:after="0"/>
        <w:rPr>
          <w:rFonts w:cstheme="minorHAnsi"/>
        </w:rPr>
      </w:pPr>
      <w:r w:rsidRPr="00211D01">
        <w:rPr>
          <w:rFonts w:cstheme="minorHAnsi"/>
        </w:rPr>
        <w:t>Start date: June 2013</w:t>
      </w:r>
    </w:p>
    <w:p w:rsidR="00437B3F" w:rsidRPr="00211D01" w:rsidRDefault="00437B3F" w:rsidP="00437B3F">
      <w:pPr>
        <w:spacing w:after="0"/>
        <w:rPr>
          <w:rFonts w:cstheme="minorHAnsi"/>
        </w:rPr>
      </w:pPr>
      <w:r w:rsidRPr="00211D01">
        <w:rPr>
          <w:rFonts w:cstheme="minorHAnsi"/>
        </w:rPr>
        <w:t xml:space="preserve">End date: December 2014 </w:t>
      </w:r>
    </w:p>
    <w:p w:rsidR="00437B3F" w:rsidRPr="00211D01" w:rsidRDefault="00437B3F" w:rsidP="00437B3F">
      <w:pPr>
        <w:spacing w:after="0" w:line="240" w:lineRule="auto"/>
        <w:jc w:val="both"/>
        <w:rPr>
          <w:rFonts w:ascii="Calibri" w:hAnsi="Calibri" w:cs="Arial"/>
          <w:bCs/>
          <w:lang w:eastAsia="zh-CN"/>
        </w:rPr>
      </w:pPr>
      <w:r w:rsidRPr="00211D01">
        <w:rPr>
          <w:rFonts w:cstheme="minorHAnsi"/>
        </w:rPr>
        <w:t xml:space="preserve">Purpose: </w:t>
      </w:r>
      <w:r w:rsidRPr="00211D01">
        <w:rPr>
          <w:rFonts w:ascii="Calibri" w:hAnsi="Calibri" w:cs="Arial"/>
          <w:bCs/>
          <w:lang w:eastAsia="zh-CN"/>
        </w:rPr>
        <w:t>Partner agencies capacity to develop coordinated plans in strengthened</w:t>
      </w:r>
    </w:p>
    <w:p w:rsidR="00437B3F" w:rsidRPr="00211D01" w:rsidRDefault="00437B3F" w:rsidP="00437B3F">
      <w:pPr>
        <w:spacing w:after="0" w:line="240" w:lineRule="auto"/>
        <w:rPr>
          <w:rFonts w:cstheme="minorHAnsi"/>
        </w:rPr>
      </w:pPr>
      <w:r w:rsidRPr="00211D01">
        <w:rPr>
          <w:rFonts w:cstheme="minorHAnsi"/>
        </w:rPr>
        <w:t>Description: Series of workshops conducted in Rakhine and Kachin to develop the 2014 ER response Plan</w:t>
      </w: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  <w:sectPr w:rsidR="006C1B20" w:rsidSect="00437B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1B20" w:rsidRDefault="006C1B20" w:rsidP="00437B3F">
      <w:pPr>
        <w:spacing w:after="0"/>
        <w:rPr>
          <w:rFonts w:cstheme="minorHAnsi"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1548"/>
        <w:gridCol w:w="1659"/>
        <w:gridCol w:w="1377"/>
        <w:gridCol w:w="2791"/>
        <w:gridCol w:w="1260"/>
        <w:gridCol w:w="1800"/>
        <w:gridCol w:w="2520"/>
      </w:tblGrid>
      <w:tr w:rsidR="006C1B20" w:rsidRPr="00211D01" w:rsidTr="00944435">
        <w:trPr>
          <w:trHeight w:val="438"/>
        </w:trPr>
        <w:tc>
          <w:tcPr>
            <w:tcW w:w="1548" w:type="dxa"/>
            <w:vMerge w:val="restart"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Criteria</w:t>
            </w:r>
          </w:p>
        </w:tc>
        <w:tc>
          <w:tcPr>
            <w:tcW w:w="1659" w:type="dxa"/>
            <w:vMerge w:val="restart"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Method</w:t>
            </w:r>
          </w:p>
        </w:tc>
        <w:tc>
          <w:tcPr>
            <w:tcW w:w="1377" w:type="dxa"/>
            <w:vMerge w:val="restart"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Assessment Due Date</w:t>
            </w:r>
          </w:p>
        </w:tc>
        <w:tc>
          <w:tcPr>
            <w:tcW w:w="2791" w:type="dxa"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User Perspective</w:t>
            </w:r>
          </w:p>
        </w:tc>
        <w:tc>
          <w:tcPr>
            <w:tcW w:w="1260" w:type="dxa"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Timelines</w:t>
            </w:r>
          </w:p>
        </w:tc>
        <w:tc>
          <w:tcPr>
            <w:tcW w:w="1800" w:type="dxa"/>
            <w:vMerge w:val="restart"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Resource Usage</w:t>
            </w:r>
          </w:p>
        </w:tc>
        <w:tc>
          <w:tcPr>
            <w:tcW w:w="2520" w:type="dxa"/>
            <w:vMerge w:val="restart"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Gender Perspective</w:t>
            </w:r>
          </w:p>
        </w:tc>
      </w:tr>
      <w:tr w:rsidR="006C1B20" w:rsidRPr="00211D01" w:rsidTr="00944435">
        <w:trPr>
          <w:trHeight w:val="438"/>
        </w:trPr>
        <w:tc>
          <w:tcPr>
            <w:tcW w:w="1548" w:type="dxa"/>
            <w:vMerge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659" w:type="dxa"/>
            <w:vMerge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377" w:type="dxa"/>
            <w:vMerge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051" w:type="dxa"/>
            <w:gridSpan w:val="2"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(Date – Rating: Comments)</w:t>
            </w:r>
          </w:p>
        </w:tc>
        <w:tc>
          <w:tcPr>
            <w:tcW w:w="1800" w:type="dxa"/>
            <w:vMerge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C1B20" w:rsidRPr="00211D01" w:rsidTr="00944435">
        <w:tc>
          <w:tcPr>
            <w:tcW w:w="1548" w:type="dxa"/>
          </w:tcPr>
          <w:p w:rsidR="006C1B20" w:rsidRPr="009C7EC9" w:rsidRDefault="00365FE2" w:rsidP="00944435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ascii="Calibri" w:hAnsi="Calibri" w:cs="Calibri"/>
                <w:sz w:val="20"/>
                <w:szCs w:val="20"/>
              </w:rPr>
              <w:t>4.2</w:t>
            </w:r>
            <w:r w:rsidR="006C1B20" w:rsidRPr="009C7EC9">
              <w:rPr>
                <w:rFonts w:ascii="Calibri" w:hAnsi="Calibri" w:cs="Calibri"/>
                <w:sz w:val="20"/>
                <w:szCs w:val="20"/>
              </w:rPr>
              <w:t xml:space="preserve"> ER Planning</w:t>
            </w:r>
          </w:p>
        </w:tc>
        <w:tc>
          <w:tcPr>
            <w:tcW w:w="1659" w:type="dxa"/>
          </w:tcPr>
          <w:p w:rsidR="006C1B20" w:rsidRPr="009C7EC9" w:rsidRDefault="006C1B20" w:rsidP="00944435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>2014 Strategic Humanitarian Plan</w:t>
            </w:r>
          </w:p>
        </w:tc>
        <w:tc>
          <w:tcPr>
            <w:tcW w:w="1377" w:type="dxa"/>
          </w:tcPr>
          <w:p w:rsidR="006C1B20" w:rsidRPr="009C7EC9" w:rsidRDefault="00E779D7" w:rsidP="00944435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>December</w:t>
            </w:r>
            <w:r w:rsidR="006C1B20" w:rsidRPr="009C7EC9">
              <w:rPr>
                <w:rFonts w:cstheme="minorHAnsi"/>
                <w:sz w:val="20"/>
                <w:szCs w:val="20"/>
              </w:rPr>
              <w:t xml:space="preserve"> 2014</w:t>
            </w:r>
          </w:p>
        </w:tc>
        <w:tc>
          <w:tcPr>
            <w:tcW w:w="2791" w:type="dxa"/>
          </w:tcPr>
          <w:p w:rsidR="006C1B20" w:rsidRPr="009C7EC9" w:rsidRDefault="006C1B20" w:rsidP="00944435">
            <w:pPr>
              <w:spacing w:before="100" w:beforeAutospacing="1" w:after="100" w:afterAutospacing="1"/>
              <w:jc w:val="both"/>
              <w:rPr>
                <w:rFonts w:ascii="Myriad Pro" w:hAnsi="Myriad Pro" w:cstheme="minorHAnsi"/>
                <w:sz w:val="20"/>
                <w:szCs w:val="20"/>
              </w:rPr>
            </w:pPr>
            <w:r w:rsidRPr="009C7EC9">
              <w:rPr>
                <w:rFonts w:ascii="Myriad Pro" w:hAnsi="Myriad Pro" w:cstheme="minorHAnsi"/>
                <w:sz w:val="20"/>
                <w:szCs w:val="20"/>
              </w:rPr>
              <w:t>- The ER Sector plan to capacity building of government partners on conflict-sensitive recovery and implement the follow-on action plan of the Workshop on Conflict Sensitive Approaches to Recovery with humanitarian partners.</w:t>
            </w:r>
          </w:p>
          <w:p w:rsidR="006C1B20" w:rsidRPr="009C7EC9" w:rsidRDefault="006C1B20" w:rsidP="00944435">
            <w:pPr>
              <w:spacing w:before="100" w:beforeAutospacing="1" w:after="100" w:afterAutospacing="1"/>
              <w:jc w:val="both"/>
              <w:rPr>
                <w:rFonts w:ascii="Myriad Pro" w:hAnsi="Myriad Pro" w:cstheme="minorHAnsi"/>
                <w:sz w:val="20"/>
                <w:szCs w:val="20"/>
              </w:rPr>
            </w:pPr>
            <w:r w:rsidRPr="009C7EC9">
              <w:rPr>
                <w:rFonts w:ascii="Myriad Pro" w:hAnsi="Myriad Pro" w:cstheme="minorHAnsi"/>
                <w:sz w:val="20"/>
                <w:szCs w:val="20"/>
              </w:rPr>
              <w:t>- The ER sector linking recovery to development by putting government partnerships and national ownership in its core through completion and endorsement and roll-out of ER Sector strategy, ERF Implementation Guidelines, multi-sector assessment, and ER proposal to Peacebuilding Fund (PBF).</w:t>
            </w:r>
          </w:p>
          <w:p w:rsidR="006C1B20" w:rsidRPr="009C7EC9" w:rsidRDefault="006C1B20" w:rsidP="00944435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C1B20" w:rsidRPr="009C7EC9" w:rsidRDefault="006C1B20" w:rsidP="00944435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6C1B20" w:rsidRPr="009C7EC9" w:rsidRDefault="006C1B20" w:rsidP="00944435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9C7EC9">
              <w:rPr>
                <w:rFonts w:cstheme="minorHAnsi"/>
                <w:i/>
                <w:sz w:val="20"/>
                <w:szCs w:val="20"/>
              </w:rPr>
              <w:t>-</w:t>
            </w:r>
          </w:p>
        </w:tc>
        <w:tc>
          <w:tcPr>
            <w:tcW w:w="2520" w:type="dxa"/>
          </w:tcPr>
          <w:p w:rsidR="006C1B20" w:rsidRPr="009C7EC9" w:rsidRDefault="006C1B20" w:rsidP="00944435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9C7EC9">
              <w:rPr>
                <w:rFonts w:cstheme="minorHAnsi"/>
                <w:i/>
                <w:sz w:val="20"/>
                <w:szCs w:val="20"/>
              </w:rPr>
              <w:t>-</w:t>
            </w:r>
          </w:p>
        </w:tc>
      </w:tr>
    </w:tbl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  <w:sectPr w:rsidR="006C1B20" w:rsidSect="006C1B2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C1B20" w:rsidRPr="00211D01" w:rsidRDefault="00365FE2" w:rsidP="006C1B2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Activity 4.3</w:t>
      </w:r>
      <w:r w:rsidR="006C1B20">
        <w:rPr>
          <w:rFonts w:ascii="Calibri" w:hAnsi="Calibri" w:cs="Calibri"/>
        </w:rPr>
        <w:t>: ER Mainstreaming</w:t>
      </w:r>
    </w:p>
    <w:p w:rsidR="006C1B20" w:rsidRPr="00211D01" w:rsidRDefault="006C1B20" w:rsidP="006C1B20">
      <w:pPr>
        <w:spacing w:after="0"/>
        <w:rPr>
          <w:rFonts w:cstheme="minorHAnsi"/>
        </w:rPr>
      </w:pPr>
      <w:r w:rsidRPr="00211D01">
        <w:rPr>
          <w:rFonts w:cstheme="minorHAnsi"/>
        </w:rPr>
        <w:t>Start date: June 2013</w:t>
      </w:r>
    </w:p>
    <w:p w:rsidR="006C1B20" w:rsidRPr="00211D01" w:rsidRDefault="006C1B20" w:rsidP="006C1B20">
      <w:pPr>
        <w:spacing w:after="0"/>
        <w:rPr>
          <w:rFonts w:cstheme="minorHAnsi"/>
        </w:rPr>
      </w:pPr>
      <w:r w:rsidRPr="00211D01">
        <w:rPr>
          <w:rFonts w:cstheme="minorHAnsi"/>
        </w:rPr>
        <w:t xml:space="preserve">End date: December 2014 </w:t>
      </w:r>
    </w:p>
    <w:p w:rsidR="006C1B20" w:rsidRPr="00211D01" w:rsidRDefault="006C1B20" w:rsidP="006C1B20">
      <w:pPr>
        <w:spacing w:after="0" w:line="240" w:lineRule="auto"/>
        <w:jc w:val="both"/>
        <w:rPr>
          <w:rFonts w:ascii="Calibri" w:hAnsi="Calibri" w:cs="Arial"/>
          <w:bCs/>
          <w:lang w:eastAsia="zh-CN"/>
        </w:rPr>
      </w:pPr>
      <w:r w:rsidRPr="00211D01">
        <w:rPr>
          <w:rFonts w:cstheme="minorHAnsi"/>
        </w:rPr>
        <w:t xml:space="preserve">Purpose: </w:t>
      </w:r>
      <w:r w:rsidRPr="00211D01">
        <w:rPr>
          <w:rFonts w:ascii="Calibri" w:hAnsi="Calibri" w:cs="Arial"/>
          <w:bCs/>
          <w:lang w:eastAsia="zh-CN"/>
        </w:rPr>
        <w:t>ER is mainstreamed into broader cluster response and approaches</w:t>
      </w:r>
    </w:p>
    <w:p w:rsidR="006C1B20" w:rsidRPr="00211D01" w:rsidRDefault="006C1B20" w:rsidP="006C1B20">
      <w:pPr>
        <w:spacing w:after="0" w:line="240" w:lineRule="auto"/>
        <w:rPr>
          <w:rFonts w:cstheme="minorHAnsi"/>
        </w:rPr>
      </w:pPr>
      <w:r w:rsidRPr="00211D01">
        <w:rPr>
          <w:rFonts w:cstheme="minorHAnsi"/>
        </w:rPr>
        <w:t>Description: ER mainstreamed in the 2014 humanitarian strategic plan</w:t>
      </w:r>
    </w:p>
    <w:p w:rsidR="00EE1F77" w:rsidRDefault="00EE1F77" w:rsidP="006C1B20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</w:rPr>
        <w:sectPr w:rsidR="00EE1F77" w:rsidSect="00437B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1B20" w:rsidRDefault="006C1B20" w:rsidP="006C1B20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659"/>
        <w:gridCol w:w="1377"/>
        <w:gridCol w:w="2971"/>
        <w:gridCol w:w="1530"/>
        <w:gridCol w:w="1710"/>
        <w:gridCol w:w="2070"/>
      </w:tblGrid>
      <w:tr w:rsidR="006C1B20" w:rsidRPr="00211D01" w:rsidTr="00944435">
        <w:trPr>
          <w:trHeight w:val="438"/>
        </w:trPr>
        <w:tc>
          <w:tcPr>
            <w:tcW w:w="1548" w:type="dxa"/>
            <w:vMerge w:val="restart"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Criteria</w:t>
            </w:r>
          </w:p>
        </w:tc>
        <w:tc>
          <w:tcPr>
            <w:tcW w:w="1659" w:type="dxa"/>
            <w:vMerge w:val="restart"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Method</w:t>
            </w:r>
          </w:p>
        </w:tc>
        <w:tc>
          <w:tcPr>
            <w:tcW w:w="1377" w:type="dxa"/>
            <w:vMerge w:val="restart"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Assessment Due Date</w:t>
            </w:r>
          </w:p>
        </w:tc>
        <w:tc>
          <w:tcPr>
            <w:tcW w:w="2971" w:type="dxa"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User Perspective</w:t>
            </w:r>
          </w:p>
        </w:tc>
        <w:tc>
          <w:tcPr>
            <w:tcW w:w="1530" w:type="dxa"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Timelines</w:t>
            </w:r>
          </w:p>
        </w:tc>
        <w:tc>
          <w:tcPr>
            <w:tcW w:w="1710" w:type="dxa"/>
            <w:vMerge w:val="restart"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Resource Usage</w:t>
            </w:r>
          </w:p>
        </w:tc>
        <w:tc>
          <w:tcPr>
            <w:tcW w:w="2070" w:type="dxa"/>
            <w:vMerge w:val="restart"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Gender Perspective</w:t>
            </w:r>
          </w:p>
        </w:tc>
      </w:tr>
      <w:tr w:rsidR="006C1B20" w:rsidRPr="00211D01" w:rsidTr="00944435">
        <w:trPr>
          <w:trHeight w:val="438"/>
        </w:trPr>
        <w:tc>
          <w:tcPr>
            <w:tcW w:w="1548" w:type="dxa"/>
            <w:vMerge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659" w:type="dxa"/>
            <w:vMerge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377" w:type="dxa"/>
            <w:vMerge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(Date – Rating: Comments)</w:t>
            </w:r>
          </w:p>
        </w:tc>
        <w:tc>
          <w:tcPr>
            <w:tcW w:w="1710" w:type="dxa"/>
            <w:vMerge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070" w:type="dxa"/>
            <w:vMerge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E779D7" w:rsidTr="00944435">
        <w:tc>
          <w:tcPr>
            <w:tcW w:w="1548" w:type="dxa"/>
          </w:tcPr>
          <w:p w:rsidR="00E779D7" w:rsidRPr="009C7EC9" w:rsidRDefault="00E779D7" w:rsidP="009C7E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ascii="Calibri" w:hAnsi="Calibri" w:cs="Calibri"/>
                <w:sz w:val="20"/>
                <w:szCs w:val="20"/>
              </w:rPr>
              <w:t>4.3 ER Mainstreaming</w:t>
            </w:r>
          </w:p>
        </w:tc>
        <w:tc>
          <w:tcPr>
            <w:tcW w:w="1659" w:type="dxa"/>
          </w:tcPr>
          <w:p w:rsidR="00E779D7" w:rsidRPr="009C7EC9" w:rsidRDefault="00E779D7" w:rsidP="009C7E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>2014 Strategic Humanitarian Plan</w:t>
            </w:r>
          </w:p>
        </w:tc>
        <w:tc>
          <w:tcPr>
            <w:tcW w:w="1377" w:type="dxa"/>
          </w:tcPr>
          <w:p w:rsidR="00E779D7" w:rsidRPr="009C7EC9" w:rsidRDefault="00E779D7" w:rsidP="009C7E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>December 2014</w:t>
            </w:r>
          </w:p>
        </w:tc>
        <w:tc>
          <w:tcPr>
            <w:tcW w:w="2971" w:type="dxa"/>
          </w:tcPr>
          <w:p w:rsidR="00E779D7" w:rsidRPr="009C7EC9" w:rsidRDefault="00E779D7" w:rsidP="009C7EC9">
            <w:pPr>
              <w:pStyle w:val="PlainText"/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asciiTheme="minorHAnsi" w:hAnsiTheme="minorHAnsi" w:cstheme="minorHAnsi"/>
                <w:sz w:val="20"/>
                <w:szCs w:val="20"/>
              </w:rPr>
              <w:t>- UNDP identified areas in which ER are mainstreamed within the humanitarian response in Rakhine and Kachin.</w:t>
            </w:r>
          </w:p>
          <w:p w:rsidR="00E779D7" w:rsidRPr="009C7EC9" w:rsidRDefault="00E779D7" w:rsidP="009C7EC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E779D7" w:rsidRPr="009C7EC9" w:rsidRDefault="00E779D7" w:rsidP="009C7EC9">
            <w:pPr>
              <w:pStyle w:val="PlainTex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7EC9">
              <w:rPr>
                <w:rFonts w:asciiTheme="minorHAnsi" w:hAnsiTheme="minorHAnsi" w:cstheme="minorHAnsi"/>
                <w:sz w:val="20"/>
                <w:szCs w:val="20"/>
              </w:rPr>
              <w:t xml:space="preserve">- UNDP has supported the drafting of the HRP 2015 by providing inputs for Livelihoods and ER mainstreaming. </w:t>
            </w:r>
          </w:p>
          <w:p w:rsidR="00E779D7" w:rsidRPr="009C7EC9" w:rsidRDefault="00E779D7" w:rsidP="009C7EC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E779D7" w:rsidRPr="009C7EC9" w:rsidRDefault="00E779D7" w:rsidP="009C7E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>-Completed a draft Terms of Reference for a technical working group on Durable Solutions.</w:t>
            </w:r>
          </w:p>
          <w:p w:rsidR="00E779D7" w:rsidRPr="009C7EC9" w:rsidRDefault="00E779D7" w:rsidP="009C7EC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E779D7" w:rsidRPr="009C7EC9" w:rsidRDefault="00E779D7" w:rsidP="009C7E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>-Conducted Scenario Analysis workshop at National level.</w:t>
            </w:r>
          </w:p>
        </w:tc>
        <w:tc>
          <w:tcPr>
            <w:tcW w:w="1530" w:type="dxa"/>
          </w:tcPr>
          <w:p w:rsidR="00E779D7" w:rsidRPr="009C7EC9" w:rsidRDefault="00E779D7" w:rsidP="009C7E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EC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E779D7" w:rsidRPr="009C7EC9" w:rsidRDefault="00E779D7" w:rsidP="009C7EC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9C7EC9">
              <w:rPr>
                <w:rFonts w:cstheme="minorHAnsi"/>
                <w:i/>
                <w:sz w:val="20"/>
                <w:szCs w:val="20"/>
              </w:rPr>
              <w:t>-</w:t>
            </w:r>
          </w:p>
        </w:tc>
        <w:tc>
          <w:tcPr>
            <w:tcW w:w="2070" w:type="dxa"/>
          </w:tcPr>
          <w:p w:rsidR="00E779D7" w:rsidRPr="009C7EC9" w:rsidRDefault="00E779D7" w:rsidP="009C7EC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9C7EC9">
              <w:rPr>
                <w:rFonts w:cstheme="minorHAnsi"/>
                <w:i/>
                <w:sz w:val="20"/>
                <w:szCs w:val="20"/>
              </w:rPr>
              <w:t>-</w:t>
            </w:r>
          </w:p>
        </w:tc>
      </w:tr>
    </w:tbl>
    <w:p w:rsidR="006C1B20" w:rsidRDefault="006C1B20" w:rsidP="006C1B20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</w:rPr>
      </w:pPr>
    </w:p>
    <w:p w:rsidR="006C1B20" w:rsidRDefault="006C1B20" w:rsidP="006C1B20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</w:rPr>
      </w:pPr>
    </w:p>
    <w:p w:rsidR="006C1B20" w:rsidRDefault="006C1B20" w:rsidP="006C1B20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</w:rPr>
      </w:pPr>
    </w:p>
    <w:p w:rsidR="006C1B20" w:rsidRDefault="006C1B20" w:rsidP="006C1B20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</w:rPr>
      </w:pPr>
    </w:p>
    <w:p w:rsidR="006C1B20" w:rsidRDefault="006C1B20" w:rsidP="006C1B20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</w:rPr>
      </w:pPr>
    </w:p>
    <w:p w:rsidR="006C1B20" w:rsidRDefault="006C1B20" w:rsidP="006C1B20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</w:rPr>
      </w:pPr>
    </w:p>
    <w:p w:rsidR="006C1B20" w:rsidRDefault="006C1B20" w:rsidP="006C1B20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</w:rPr>
      </w:pPr>
    </w:p>
    <w:p w:rsidR="006C1B20" w:rsidRDefault="006C1B20" w:rsidP="006C1B20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</w:rPr>
      </w:pPr>
    </w:p>
    <w:p w:rsidR="006C1B20" w:rsidRDefault="006C1B20" w:rsidP="006C1B20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</w:rPr>
      </w:pPr>
    </w:p>
    <w:p w:rsidR="00437B3F" w:rsidRDefault="00437B3F" w:rsidP="00437B3F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sectPr w:rsidR="00437B3F" w:rsidSect="00722D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328" w:rsidRDefault="00A44328" w:rsidP="00371DEF">
      <w:pPr>
        <w:spacing w:after="0" w:line="240" w:lineRule="auto"/>
      </w:pPr>
      <w:r>
        <w:separator/>
      </w:r>
    </w:p>
  </w:endnote>
  <w:endnote w:type="continuationSeparator" w:id="0">
    <w:p w:rsidR="00A44328" w:rsidRDefault="00A44328" w:rsidP="0037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41058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64C52" w:rsidRDefault="00B64C5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72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72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4C52" w:rsidRDefault="00B64C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328" w:rsidRDefault="00A44328" w:rsidP="00371DEF">
      <w:pPr>
        <w:spacing w:after="0" w:line="240" w:lineRule="auto"/>
      </w:pPr>
      <w:r>
        <w:separator/>
      </w:r>
    </w:p>
  </w:footnote>
  <w:footnote w:type="continuationSeparator" w:id="0">
    <w:p w:rsidR="00A44328" w:rsidRDefault="00A44328" w:rsidP="0037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3B7F"/>
    <w:multiLevelType w:val="hybridMultilevel"/>
    <w:tmpl w:val="65C0F432"/>
    <w:lvl w:ilvl="0" w:tplc="68ECBE56">
      <w:start w:val="5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6A7604"/>
    <w:multiLevelType w:val="hybridMultilevel"/>
    <w:tmpl w:val="74AA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748E0"/>
    <w:multiLevelType w:val="hybridMultilevel"/>
    <w:tmpl w:val="343E86F8"/>
    <w:lvl w:ilvl="0" w:tplc="9170E36C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46B64"/>
    <w:multiLevelType w:val="hybridMultilevel"/>
    <w:tmpl w:val="E6DACCE6"/>
    <w:lvl w:ilvl="0" w:tplc="B5A615D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1B58B1"/>
    <w:multiLevelType w:val="hybridMultilevel"/>
    <w:tmpl w:val="931A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F556E"/>
    <w:multiLevelType w:val="hybridMultilevel"/>
    <w:tmpl w:val="27A8A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DC698B"/>
    <w:multiLevelType w:val="hybridMultilevel"/>
    <w:tmpl w:val="817E2DD6"/>
    <w:lvl w:ilvl="0" w:tplc="933E1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A5F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A48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6A72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422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4CB2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0E7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0E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FC80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9040C"/>
    <w:multiLevelType w:val="hybridMultilevel"/>
    <w:tmpl w:val="4028C1DC"/>
    <w:lvl w:ilvl="0" w:tplc="1714A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03239"/>
    <w:multiLevelType w:val="hybridMultilevel"/>
    <w:tmpl w:val="3690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3094A"/>
    <w:multiLevelType w:val="multilevel"/>
    <w:tmpl w:val="36C0F4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A1D2EB6"/>
    <w:multiLevelType w:val="multilevel"/>
    <w:tmpl w:val="61160766"/>
    <w:lvl w:ilvl="0">
      <w:start w:val="5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1">
    <w:nsid w:val="455751ED"/>
    <w:multiLevelType w:val="hybridMultilevel"/>
    <w:tmpl w:val="7CA66B74"/>
    <w:lvl w:ilvl="0" w:tplc="DBB68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C04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E62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72C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465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049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A7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C44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3E3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5EE7A51"/>
    <w:multiLevelType w:val="hybridMultilevel"/>
    <w:tmpl w:val="768C6C1C"/>
    <w:lvl w:ilvl="0" w:tplc="FB988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44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EC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8CC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04D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6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0E1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20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4A7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A281FB1"/>
    <w:multiLevelType w:val="hybridMultilevel"/>
    <w:tmpl w:val="02141388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4">
    <w:nsid w:val="4C2602B8"/>
    <w:multiLevelType w:val="hybridMultilevel"/>
    <w:tmpl w:val="D506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F049C"/>
    <w:multiLevelType w:val="hybridMultilevel"/>
    <w:tmpl w:val="026C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75280"/>
    <w:multiLevelType w:val="hybridMultilevel"/>
    <w:tmpl w:val="6C4E720E"/>
    <w:lvl w:ilvl="0" w:tplc="1F3ED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8EC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92D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70E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0F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E0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3CC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87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E61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B80613B"/>
    <w:multiLevelType w:val="hybridMultilevel"/>
    <w:tmpl w:val="B48E5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B06FD"/>
    <w:multiLevelType w:val="multilevel"/>
    <w:tmpl w:val="4E907A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9">
    <w:nsid w:val="6F7F1CA2"/>
    <w:multiLevelType w:val="hybridMultilevel"/>
    <w:tmpl w:val="5C4C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6"/>
  </w:num>
  <w:num w:numId="5">
    <w:abstractNumId w:val="18"/>
  </w:num>
  <w:num w:numId="6">
    <w:abstractNumId w:val="9"/>
  </w:num>
  <w:num w:numId="7">
    <w:abstractNumId w:val="10"/>
  </w:num>
  <w:num w:numId="8">
    <w:abstractNumId w:val="5"/>
  </w:num>
  <w:num w:numId="9">
    <w:abstractNumId w:val="13"/>
  </w:num>
  <w:num w:numId="10">
    <w:abstractNumId w:val="17"/>
  </w:num>
  <w:num w:numId="11">
    <w:abstractNumId w:val="15"/>
  </w:num>
  <w:num w:numId="12">
    <w:abstractNumId w:val="19"/>
  </w:num>
  <w:num w:numId="13">
    <w:abstractNumId w:val="1"/>
  </w:num>
  <w:num w:numId="14">
    <w:abstractNumId w:val="3"/>
  </w:num>
  <w:num w:numId="15">
    <w:abstractNumId w:val="12"/>
  </w:num>
  <w:num w:numId="16">
    <w:abstractNumId w:val="16"/>
  </w:num>
  <w:num w:numId="17">
    <w:abstractNumId w:val="11"/>
  </w:num>
  <w:num w:numId="18">
    <w:abstractNumId w:val="8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71"/>
    <w:rsid w:val="0000702D"/>
    <w:rsid w:val="00016AEC"/>
    <w:rsid w:val="000179E1"/>
    <w:rsid w:val="00023F14"/>
    <w:rsid w:val="000356B3"/>
    <w:rsid w:val="00036B88"/>
    <w:rsid w:val="0004108E"/>
    <w:rsid w:val="000435A2"/>
    <w:rsid w:val="00063FA4"/>
    <w:rsid w:val="0008096F"/>
    <w:rsid w:val="00087913"/>
    <w:rsid w:val="000928E9"/>
    <w:rsid w:val="000A25D3"/>
    <w:rsid w:val="000B02B2"/>
    <w:rsid w:val="000B7740"/>
    <w:rsid w:val="000C2B09"/>
    <w:rsid w:val="000C380A"/>
    <w:rsid w:val="000C5A8E"/>
    <w:rsid w:val="000E02C7"/>
    <w:rsid w:val="000E6ECF"/>
    <w:rsid w:val="00107869"/>
    <w:rsid w:val="0011343A"/>
    <w:rsid w:val="001257CE"/>
    <w:rsid w:val="00130B1B"/>
    <w:rsid w:val="001412C9"/>
    <w:rsid w:val="001417D9"/>
    <w:rsid w:val="00143EED"/>
    <w:rsid w:val="0014510E"/>
    <w:rsid w:val="00165EC3"/>
    <w:rsid w:val="0018303A"/>
    <w:rsid w:val="00193904"/>
    <w:rsid w:val="001939D0"/>
    <w:rsid w:val="00193B25"/>
    <w:rsid w:val="00197B2A"/>
    <w:rsid w:val="001E5317"/>
    <w:rsid w:val="001F2D82"/>
    <w:rsid w:val="001F41BF"/>
    <w:rsid w:val="001F5219"/>
    <w:rsid w:val="001F6185"/>
    <w:rsid w:val="00201676"/>
    <w:rsid w:val="00205E9D"/>
    <w:rsid w:val="00211D01"/>
    <w:rsid w:val="002215B7"/>
    <w:rsid w:val="00227034"/>
    <w:rsid w:val="00232E10"/>
    <w:rsid w:val="002433CD"/>
    <w:rsid w:val="002504FB"/>
    <w:rsid w:val="0028294C"/>
    <w:rsid w:val="0028691F"/>
    <w:rsid w:val="002931C5"/>
    <w:rsid w:val="002D2E4A"/>
    <w:rsid w:val="002F3500"/>
    <w:rsid w:val="002F5A04"/>
    <w:rsid w:val="002F6FEB"/>
    <w:rsid w:val="002F78CF"/>
    <w:rsid w:val="003002A1"/>
    <w:rsid w:val="00302962"/>
    <w:rsid w:val="00311EB1"/>
    <w:rsid w:val="00323C07"/>
    <w:rsid w:val="00331763"/>
    <w:rsid w:val="00333457"/>
    <w:rsid w:val="00365FE2"/>
    <w:rsid w:val="00370619"/>
    <w:rsid w:val="00371DEF"/>
    <w:rsid w:val="00376EB2"/>
    <w:rsid w:val="003806E1"/>
    <w:rsid w:val="00384FFC"/>
    <w:rsid w:val="003B135C"/>
    <w:rsid w:val="003C0E1F"/>
    <w:rsid w:val="003C1E46"/>
    <w:rsid w:val="003D22EE"/>
    <w:rsid w:val="003E5E8F"/>
    <w:rsid w:val="003E6BB0"/>
    <w:rsid w:val="003F5239"/>
    <w:rsid w:val="003F7B9A"/>
    <w:rsid w:val="0040288C"/>
    <w:rsid w:val="004252EF"/>
    <w:rsid w:val="004274A9"/>
    <w:rsid w:val="00437B3F"/>
    <w:rsid w:val="00437C92"/>
    <w:rsid w:val="00475A80"/>
    <w:rsid w:val="004838CF"/>
    <w:rsid w:val="00487213"/>
    <w:rsid w:val="004A3F0E"/>
    <w:rsid w:val="004A58D9"/>
    <w:rsid w:val="004B6041"/>
    <w:rsid w:val="004D1838"/>
    <w:rsid w:val="004D1D4F"/>
    <w:rsid w:val="004D4D47"/>
    <w:rsid w:val="004E6962"/>
    <w:rsid w:val="004F4764"/>
    <w:rsid w:val="004F69BD"/>
    <w:rsid w:val="004F6B2F"/>
    <w:rsid w:val="005126C1"/>
    <w:rsid w:val="00515E09"/>
    <w:rsid w:val="00516362"/>
    <w:rsid w:val="00520607"/>
    <w:rsid w:val="00524E91"/>
    <w:rsid w:val="00532ECC"/>
    <w:rsid w:val="00533B9B"/>
    <w:rsid w:val="005560E7"/>
    <w:rsid w:val="00560311"/>
    <w:rsid w:val="00573421"/>
    <w:rsid w:val="005804CE"/>
    <w:rsid w:val="00580A65"/>
    <w:rsid w:val="00585AE8"/>
    <w:rsid w:val="00591483"/>
    <w:rsid w:val="00593C37"/>
    <w:rsid w:val="005947B8"/>
    <w:rsid w:val="00596074"/>
    <w:rsid w:val="005B31DE"/>
    <w:rsid w:val="005C67BA"/>
    <w:rsid w:val="005C7A28"/>
    <w:rsid w:val="005D1F87"/>
    <w:rsid w:val="005D6210"/>
    <w:rsid w:val="005E7C2B"/>
    <w:rsid w:val="00600EAF"/>
    <w:rsid w:val="00611A7D"/>
    <w:rsid w:val="0061506C"/>
    <w:rsid w:val="00630743"/>
    <w:rsid w:val="00635BF0"/>
    <w:rsid w:val="00637674"/>
    <w:rsid w:val="006406A8"/>
    <w:rsid w:val="00656DFB"/>
    <w:rsid w:val="006630EB"/>
    <w:rsid w:val="00677825"/>
    <w:rsid w:val="006A0136"/>
    <w:rsid w:val="006B4090"/>
    <w:rsid w:val="006B673F"/>
    <w:rsid w:val="006C1B20"/>
    <w:rsid w:val="006C3D66"/>
    <w:rsid w:val="006D2013"/>
    <w:rsid w:val="006D6FA6"/>
    <w:rsid w:val="006E1CF4"/>
    <w:rsid w:val="0072035A"/>
    <w:rsid w:val="0072226E"/>
    <w:rsid w:val="00722D9D"/>
    <w:rsid w:val="0073033B"/>
    <w:rsid w:val="00743448"/>
    <w:rsid w:val="00745AB6"/>
    <w:rsid w:val="007655D2"/>
    <w:rsid w:val="00775F96"/>
    <w:rsid w:val="007761ED"/>
    <w:rsid w:val="00782C05"/>
    <w:rsid w:val="007B16B6"/>
    <w:rsid w:val="007B6FBF"/>
    <w:rsid w:val="007C3BA5"/>
    <w:rsid w:val="00811EC9"/>
    <w:rsid w:val="00823EA4"/>
    <w:rsid w:val="008274D1"/>
    <w:rsid w:val="00830F71"/>
    <w:rsid w:val="0085493F"/>
    <w:rsid w:val="008733D3"/>
    <w:rsid w:val="008826BD"/>
    <w:rsid w:val="0088539F"/>
    <w:rsid w:val="00885EBC"/>
    <w:rsid w:val="008870EC"/>
    <w:rsid w:val="0088710F"/>
    <w:rsid w:val="0089426E"/>
    <w:rsid w:val="008A2A91"/>
    <w:rsid w:val="008B2B24"/>
    <w:rsid w:val="008B72FD"/>
    <w:rsid w:val="008D5CCF"/>
    <w:rsid w:val="008E16F1"/>
    <w:rsid w:val="008F723A"/>
    <w:rsid w:val="00900EA9"/>
    <w:rsid w:val="00901997"/>
    <w:rsid w:val="00904F1E"/>
    <w:rsid w:val="00915ADC"/>
    <w:rsid w:val="00923AA5"/>
    <w:rsid w:val="009337BF"/>
    <w:rsid w:val="0094134F"/>
    <w:rsid w:val="00944435"/>
    <w:rsid w:val="0096022D"/>
    <w:rsid w:val="0097113C"/>
    <w:rsid w:val="009805F4"/>
    <w:rsid w:val="00982AA7"/>
    <w:rsid w:val="009B534D"/>
    <w:rsid w:val="009B7797"/>
    <w:rsid w:val="009C7EC9"/>
    <w:rsid w:val="00A0039C"/>
    <w:rsid w:val="00A15E1D"/>
    <w:rsid w:val="00A339A5"/>
    <w:rsid w:val="00A34CA3"/>
    <w:rsid w:val="00A37F2D"/>
    <w:rsid w:val="00A37F53"/>
    <w:rsid w:val="00A40435"/>
    <w:rsid w:val="00A44328"/>
    <w:rsid w:val="00A54BE0"/>
    <w:rsid w:val="00A57E2A"/>
    <w:rsid w:val="00A666D1"/>
    <w:rsid w:val="00A66900"/>
    <w:rsid w:val="00A836B7"/>
    <w:rsid w:val="00A83771"/>
    <w:rsid w:val="00A92651"/>
    <w:rsid w:val="00AB0DAB"/>
    <w:rsid w:val="00AB5B7F"/>
    <w:rsid w:val="00AB72F9"/>
    <w:rsid w:val="00AC5555"/>
    <w:rsid w:val="00AC70CD"/>
    <w:rsid w:val="00AD17E7"/>
    <w:rsid w:val="00AE22E7"/>
    <w:rsid w:val="00AE3A5A"/>
    <w:rsid w:val="00AE7021"/>
    <w:rsid w:val="00AF3207"/>
    <w:rsid w:val="00B05515"/>
    <w:rsid w:val="00B12EAD"/>
    <w:rsid w:val="00B1421F"/>
    <w:rsid w:val="00B27D29"/>
    <w:rsid w:val="00B507E1"/>
    <w:rsid w:val="00B640A6"/>
    <w:rsid w:val="00B64C52"/>
    <w:rsid w:val="00B64E98"/>
    <w:rsid w:val="00B727C7"/>
    <w:rsid w:val="00B91B5F"/>
    <w:rsid w:val="00BB467D"/>
    <w:rsid w:val="00BB5C54"/>
    <w:rsid w:val="00BC0FF8"/>
    <w:rsid w:val="00BC5877"/>
    <w:rsid w:val="00BD5292"/>
    <w:rsid w:val="00BE432B"/>
    <w:rsid w:val="00BF1E43"/>
    <w:rsid w:val="00BF3BB7"/>
    <w:rsid w:val="00C11EC6"/>
    <w:rsid w:val="00C20342"/>
    <w:rsid w:val="00C4215E"/>
    <w:rsid w:val="00C56AA1"/>
    <w:rsid w:val="00C71782"/>
    <w:rsid w:val="00C746A3"/>
    <w:rsid w:val="00C81289"/>
    <w:rsid w:val="00C94416"/>
    <w:rsid w:val="00CA0ADE"/>
    <w:rsid w:val="00CB1647"/>
    <w:rsid w:val="00CC01CE"/>
    <w:rsid w:val="00CE13CC"/>
    <w:rsid w:val="00CE4679"/>
    <w:rsid w:val="00CF5B97"/>
    <w:rsid w:val="00CF6869"/>
    <w:rsid w:val="00D076DD"/>
    <w:rsid w:val="00D1410C"/>
    <w:rsid w:val="00D30BBE"/>
    <w:rsid w:val="00D434D0"/>
    <w:rsid w:val="00D4483F"/>
    <w:rsid w:val="00D60BCF"/>
    <w:rsid w:val="00D70D20"/>
    <w:rsid w:val="00D72E3C"/>
    <w:rsid w:val="00D77770"/>
    <w:rsid w:val="00D95617"/>
    <w:rsid w:val="00DA6AF1"/>
    <w:rsid w:val="00DC088B"/>
    <w:rsid w:val="00DC4C75"/>
    <w:rsid w:val="00DD592A"/>
    <w:rsid w:val="00DE4382"/>
    <w:rsid w:val="00E17027"/>
    <w:rsid w:val="00E20E4A"/>
    <w:rsid w:val="00E30900"/>
    <w:rsid w:val="00E338E7"/>
    <w:rsid w:val="00E40095"/>
    <w:rsid w:val="00E40752"/>
    <w:rsid w:val="00E446B1"/>
    <w:rsid w:val="00E5446F"/>
    <w:rsid w:val="00E73F8C"/>
    <w:rsid w:val="00E779D7"/>
    <w:rsid w:val="00EA3FC2"/>
    <w:rsid w:val="00EA5568"/>
    <w:rsid w:val="00EB24A6"/>
    <w:rsid w:val="00EC42E3"/>
    <w:rsid w:val="00EC5636"/>
    <w:rsid w:val="00ED212E"/>
    <w:rsid w:val="00ED217E"/>
    <w:rsid w:val="00ED3316"/>
    <w:rsid w:val="00ED4ED5"/>
    <w:rsid w:val="00EE1402"/>
    <w:rsid w:val="00EE1F77"/>
    <w:rsid w:val="00EE70B9"/>
    <w:rsid w:val="00EF10CB"/>
    <w:rsid w:val="00F06587"/>
    <w:rsid w:val="00F07F8E"/>
    <w:rsid w:val="00F12F56"/>
    <w:rsid w:val="00F22643"/>
    <w:rsid w:val="00F410F9"/>
    <w:rsid w:val="00F57311"/>
    <w:rsid w:val="00F86922"/>
    <w:rsid w:val="00F8791A"/>
    <w:rsid w:val="00F92759"/>
    <w:rsid w:val="00F9434B"/>
    <w:rsid w:val="00F949A7"/>
    <w:rsid w:val="00F95C11"/>
    <w:rsid w:val="00F9777A"/>
    <w:rsid w:val="00FA6107"/>
    <w:rsid w:val="00FA6F79"/>
    <w:rsid w:val="00FB1DB6"/>
    <w:rsid w:val="00FD4175"/>
    <w:rsid w:val="00FD7C5C"/>
    <w:rsid w:val="00FE20AB"/>
    <w:rsid w:val="00FE5FC7"/>
    <w:rsid w:val="00FE6FF7"/>
    <w:rsid w:val="00F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6339A5-834F-48B4-9A9A-E74DF2A4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0F71"/>
    <w:pPr>
      <w:tabs>
        <w:tab w:val="center" w:pos="4153"/>
        <w:tab w:val="right" w:pos="8306"/>
      </w:tabs>
      <w:spacing w:after="0" w:line="240" w:lineRule="auto"/>
    </w:pPr>
    <w:rPr>
      <w:rFonts w:ascii="Palatino Linotype" w:eastAsia="Times New Roman" w:hAnsi="Palatino Linotype" w:cs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30F71"/>
    <w:rPr>
      <w:rFonts w:ascii="Palatino Linotype" w:eastAsia="Times New Roman" w:hAnsi="Palatino Linotype" w:cs="Times New Roman"/>
      <w:sz w:val="20"/>
      <w:szCs w:val="24"/>
      <w:lang w:val="en-GB"/>
    </w:rPr>
  </w:style>
  <w:style w:type="paragraph" w:styleId="ListParagraph">
    <w:name w:val="List Paragraph"/>
    <w:aliases w:val="Project Profile name"/>
    <w:basedOn w:val="Normal"/>
    <w:link w:val="ListParagraphChar"/>
    <w:uiPriority w:val="34"/>
    <w:qFormat/>
    <w:rsid w:val="00830F71"/>
    <w:pPr>
      <w:ind w:left="720"/>
      <w:contextualSpacing/>
    </w:pPr>
  </w:style>
  <w:style w:type="table" w:styleId="TableGrid">
    <w:name w:val="Table Grid"/>
    <w:basedOn w:val="TableNormal"/>
    <w:uiPriority w:val="59"/>
    <w:rsid w:val="0002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7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DEF"/>
  </w:style>
  <w:style w:type="character" w:customStyle="1" w:styleId="ListParagraphChar">
    <w:name w:val="List Paragraph Char"/>
    <w:aliases w:val="Project Profile name Char"/>
    <w:basedOn w:val="DefaultParagraphFont"/>
    <w:link w:val="ListParagraph"/>
    <w:uiPriority w:val="34"/>
    <w:locked/>
    <w:rsid w:val="002F5A04"/>
  </w:style>
  <w:style w:type="paragraph" w:styleId="NoSpacing">
    <w:name w:val="No Spacing"/>
    <w:link w:val="NoSpacingChar"/>
    <w:uiPriority w:val="1"/>
    <w:qFormat/>
    <w:rsid w:val="00982AA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locked/>
    <w:rsid w:val="00982AA7"/>
    <w:rPr>
      <w:rFonts w:ascii="Arial" w:eastAsia="Times New Roman" w:hAnsi="Arial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5B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5B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5B7F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8733D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33D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0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4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4FB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7B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2015-07-29T07:00:00+00:00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03c70d0e-c75e-4cfb-8288-e692640ede14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1112</Value>
      <Value>1197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00086669</UndpProjectNo>
    <UndpDocStatus xmlns="1ed4137b-41b2-488b-8250-6d369ec27664">Draft</UndpDocStatus>
    <Outcome1 xmlns="f1161f5b-24a3-4c2d-bc81-44cb9325e8ee">05</Outcome1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MMR</TermName>
          <TermId xmlns="http://schemas.microsoft.com/office/infopath/2007/PartnerControls">2419dee4-d5af-4236-9c89-99ccdecb9b2a</TermId>
        </TermInfo>
      </Terms>
    </gc6531b704974d528487414686b72f6f>
    <_dlc_DocId xmlns="f1161f5b-24a3-4c2d-bc81-44cb9325e8ee">ATLASPDC-4-35254</_dlc_DocId>
    <_dlc_DocIdUrl xmlns="f1161f5b-24a3-4c2d-bc81-44cb9325e8ee">
      <Url>https://info.undp.org/docs/pdc/_layouts/DocIdRedir.aspx?ID=ATLASPDC-4-35254</Url>
      <Description>ATLASPDC-4-35254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103C5D-88C9-419A-BC34-3C3787608F40}"/>
</file>

<file path=customXml/itemProps2.xml><?xml version="1.0" encoding="utf-8"?>
<ds:datastoreItem xmlns:ds="http://schemas.openxmlformats.org/officeDocument/2006/customXml" ds:itemID="{E53210D3-B757-488B-A3DD-D42DF89BDEBC}"/>
</file>

<file path=customXml/itemProps3.xml><?xml version="1.0" encoding="utf-8"?>
<ds:datastoreItem xmlns:ds="http://schemas.openxmlformats.org/officeDocument/2006/customXml" ds:itemID="{998DFF58-C17D-499A-A8FC-85E0FEC17A04}"/>
</file>

<file path=customXml/itemProps4.xml><?xml version="1.0" encoding="utf-8"?>
<ds:datastoreItem xmlns:ds="http://schemas.openxmlformats.org/officeDocument/2006/customXml" ds:itemID="{D32D074E-9404-4ECC-A3A0-2071C00286F9}"/>
</file>

<file path=customXml/itemProps5.xml><?xml version="1.0" encoding="utf-8"?>
<ds:datastoreItem xmlns:ds="http://schemas.openxmlformats.org/officeDocument/2006/customXml" ds:itemID="{E18C1AAB-A741-4C26-8243-5BD5540B2E12}"/>
</file>

<file path=customXml/itemProps6.xml><?xml version="1.0" encoding="utf-8"?>
<ds:datastoreItem xmlns:ds="http://schemas.openxmlformats.org/officeDocument/2006/customXml" ds:itemID="{10A47F75-5909-4E99-A42E-A51AC17740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dania.marzouki</dc:creator>
  <cp:lastModifiedBy>yupa.nwe</cp:lastModifiedBy>
  <cp:revision>2</cp:revision>
  <dcterms:created xsi:type="dcterms:W3CDTF">2015-01-17T04:55:00Z</dcterms:created>
  <dcterms:modified xsi:type="dcterms:W3CDTF">2015-01-17T04:55:00Z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236;#Progress Report|cafb2bdd-31de-4683-a84c-29af809cca57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1197;#MMR|2419dee4-d5af-4236-9c89-99ccdecb9b2a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1112;#Progress Report|03c70d0e-c75e-4cfb-8288-e692640ede14</vt:lpwstr>
  </property>
  <property fmtid="{D5CDD505-2E9C-101B-9397-08002B2CF9AE}" pid="17" name="_dlc_DocIdItemGuid">
    <vt:lpwstr>1f2fb053-66e2-4527-821c-27ee4221d5e0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